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5280"/>
        <w:gridCol w:w="3120"/>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敷料类耗材</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遴选文件获取方式：本项目遴选文件在重庆市铜梁区人民医院官网（www.tlxrmyy.net）上免费下载。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报名及递交文件地点：重庆市铜梁区人民医院行政楼三楼306医学装备科办公室。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2</w:t>
      </w:r>
      <w:r>
        <w:rPr>
          <w:rFonts w:hint="eastAsia" w:ascii="方正仿宋_GBK" w:hAnsi="方正仿宋_GBK" w:eastAsia="方正仿宋_GBK" w:cs="方正仿宋_GBK"/>
          <w:kern w:val="0"/>
          <w:sz w:val="32"/>
          <w:szCs w:val="32"/>
          <w:shd w:val="clear" w:color="auto" w:fill="FFFFFF"/>
          <w:lang w:bidi="ar"/>
        </w:rPr>
        <w:t>月</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日17:30分（工作时间内），逾期不予受理。</w:t>
      </w:r>
      <w:bookmarkStart w:id="18" w:name="_GoBack"/>
      <w:bookmarkEnd w:id="18"/>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报名所需资料：《遴选参与文件》（纸质档及电子档，电子档发邮箱：136356757@qq.com），同时携带产品实物进行测试。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：韦老师</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023-45656920</w:t>
      </w:r>
      <w:bookmarkEnd w:id="0"/>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3" w:firstLineChars="200"/>
        <w:rPr>
          <w:rFonts w:ascii="方正仿宋_GBK" w:hAnsi="方正仿宋_GBK" w:eastAsia="方正仿宋_GBK" w:cs="方正仿宋_GBK"/>
          <w:kern w:val="0"/>
          <w:sz w:val="32"/>
          <w:shd w:val="clear" w:color="auto" w:fill="FFFFFF"/>
          <w:lang w:bidi="ar"/>
        </w:rPr>
      </w:pPr>
      <w:bookmarkStart w:id="1" w:name="_Toc7917"/>
      <w:r>
        <w:rPr>
          <w:rFonts w:hint="eastAsia" w:ascii="方正仿宋_GBK" w:hAnsi="方正仿宋_GBK" w:eastAsia="方正仿宋_GBK" w:cs="方正仿宋_GBK"/>
          <w:kern w:val="0"/>
          <w:sz w:val="32"/>
          <w:shd w:val="clear" w:color="auto" w:fill="FFFFFF"/>
          <w:lang w:bidi="ar"/>
        </w:rPr>
        <w:t>五、监督管理</w:t>
      </w:r>
      <w:bookmarkEnd w:id="1"/>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2" w:name="_Toc6913"/>
      <w:r>
        <w:rPr>
          <w:rFonts w:hint="eastAsia" w:ascii="方正仿宋_GBK" w:hAnsi="方正仿宋_GBK" w:eastAsia="方正仿宋_GBK" w:cs="方正仿宋_GBK"/>
          <w:kern w:val="0"/>
          <w:sz w:val="32"/>
          <w:shd w:val="clear" w:color="auto" w:fill="FFFFFF"/>
          <w:lang w:bidi="ar"/>
        </w:rPr>
        <w:t>六、解释权</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pgSz w:w="11906" w:h="16838"/>
          <w:pgMar w:top="1134" w:right="850" w:bottom="1134" w:left="1134" w:header="851" w:footer="992" w:gutter="0"/>
          <w:cols w:space="0" w:num="1"/>
          <w:docGrid w:type="lines" w:linePitch="312" w:charSpace="0"/>
        </w:sectPr>
      </w:pPr>
    </w:p>
    <w:p>
      <w:pPr>
        <w:jc w:val="center"/>
        <w:outlineLvl w:val="0"/>
        <w:rPr>
          <w:rFonts w:ascii="仿宋" w:hAnsi="仿宋" w:eastAsia="仿宋" w:cs="华文中宋"/>
          <w:b/>
          <w:sz w:val="84"/>
          <w:szCs w:val="84"/>
        </w:rPr>
      </w:pPr>
      <w:bookmarkStart w:id="3" w:name="_Toc30412"/>
      <w:bookmarkStart w:id="4" w:name="_Toc4049"/>
      <w:bookmarkStart w:id="5" w:name="_Toc23878"/>
      <w:r>
        <w:rPr>
          <w:rFonts w:hint="eastAsia" w:ascii="仿宋" w:hAnsi="仿宋" w:eastAsia="仿宋" w:cs="华文中宋"/>
          <w:b/>
          <w:sz w:val="84"/>
          <w:szCs w:val="84"/>
        </w:rPr>
        <w:t>重庆市铜梁区人民医院</w:t>
      </w:r>
      <w:bookmarkEnd w:id="3"/>
      <w:bookmarkEnd w:id="4"/>
      <w:bookmarkEnd w:id="5"/>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eastAsia="zh-CN"/>
        </w:rPr>
        <w:t>敷料类耗材</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24405"/>
      <w:bookmarkStart w:id="7" w:name="_Toc19948"/>
      <w:bookmarkStart w:id="8" w:name="_Toc25426"/>
      <w:r>
        <w:rPr>
          <w:rFonts w:hint="eastAsia" w:ascii="仿宋" w:hAnsi="仿宋" w:eastAsia="仿宋" w:cs="华文中宋"/>
          <w:b/>
          <w:sz w:val="44"/>
          <w:szCs w:val="44"/>
        </w:rPr>
        <w:t>项目编号：</w:t>
      </w:r>
      <w:bookmarkEnd w:id="6"/>
      <w:bookmarkEnd w:id="7"/>
      <w:bookmarkEnd w:id="8"/>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4</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3</w:t>
      </w:r>
      <w:r>
        <w:rPr>
          <w:rFonts w:hint="eastAsia" w:ascii="仿宋" w:hAnsi="仿宋" w:eastAsia="仿宋" w:cs="华文中宋"/>
          <w:b/>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1078"/>
      <w:bookmarkStart w:id="10" w:name="_Toc21379"/>
      <w:bookmarkStart w:id="11" w:name="_Toc178"/>
      <w:r>
        <w:rPr>
          <w:rFonts w:hint="eastAsia" w:ascii="仿宋" w:hAnsi="仿宋" w:eastAsia="仿宋" w:cs="华文中宋"/>
          <w:b/>
          <w:sz w:val="44"/>
          <w:szCs w:val="44"/>
        </w:rPr>
        <w:t>遴 选 人：重庆市铜梁区人民医院</w:t>
      </w:r>
      <w:bookmarkEnd w:id="9"/>
      <w:bookmarkEnd w:id="10"/>
      <w:bookmarkEnd w:id="11"/>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2" w:name="_Toc23577"/>
      <w:bookmarkStart w:id="13" w:name="_Toc31576"/>
      <w:bookmarkStart w:id="14" w:name="_Toc30537"/>
      <w:r>
        <w:rPr>
          <w:rFonts w:hint="eastAsia" w:ascii="仿宋" w:hAnsi="仿宋" w:eastAsia="仿宋" w:cs="华文中宋"/>
          <w:b/>
          <w:sz w:val="28"/>
          <w:szCs w:val="28"/>
        </w:rPr>
        <w:t>重庆市铜梁区人民医院制</w:t>
      </w:r>
      <w:bookmarkEnd w:id="12"/>
      <w:bookmarkEnd w:id="13"/>
      <w:bookmarkEnd w:id="14"/>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5" w:name="_Toc27085"/>
      <w:bookmarkStart w:id="16" w:name="_Toc967"/>
      <w:bookmarkStart w:id="17" w:name="_Toc11779"/>
      <w:r>
        <w:rPr>
          <w:rFonts w:hint="eastAsia" w:ascii="仿宋" w:hAnsi="仿宋" w:eastAsia="仿宋" w:cs="华文中宋"/>
          <w:b/>
          <w:sz w:val="36"/>
          <w:szCs w:val="36"/>
        </w:rPr>
        <w:t>二0二</w:t>
      </w:r>
      <w:r>
        <w:rPr>
          <w:rFonts w:hint="eastAsia" w:ascii="仿宋" w:hAnsi="仿宋" w:eastAsia="仿宋" w:cs="华文中宋"/>
          <w:b/>
          <w:sz w:val="36"/>
          <w:szCs w:val="36"/>
          <w:lang w:eastAsia="zh-CN"/>
        </w:rPr>
        <w:t>四</w:t>
      </w:r>
      <w:r>
        <w:rPr>
          <w:rFonts w:hint="eastAsia" w:ascii="仿宋" w:hAnsi="仿宋" w:eastAsia="仿宋" w:cs="华文中宋"/>
          <w:b/>
          <w:sz w:val="36"/>
          <w:szCs w:val="36"/>
        </w:rPr>
        <w:t>年</w:t>
      </w:r>
      <w:r>
        <w:rPr>
          <w:rFonts w:hint="eastAsia" w:ascii="仿宋" w:hAnsi="仿宋" w:eastAsia="仿宋" w:cs="华文中宋"/>
          <w:b/>
          <w:sz w:val="36"/>
          <w:szCs w:val="36"/>
          <w:lang w:eastAsia="zh-CN"/>
        </w:rPr>
        <w:t>一</w:t>
      </w:r>
      <w:r>
        <w:rPr>
          <w:rFonts w:hint="eastAsia" w:ascii="仿宋" w:hAnsi="仿宋" w:eastAsia="仿宋" w:cs="华文中宋"/>
          <w:b/>
          <w:sz w:val="36"/>
          <w:szCs w:val="36"/>
        </w:rPr>
        <w:t>月</w:t>
      </w:r>
      <w:bookmarkEnd w:id="15"/>
      <w:bookmarkEnd w:id="16"/>
      <w:bookmarkEnd w:id="17"/>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医用耗材试剂生产商（进口产品为国内总代理经销商或区域代理经销商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按需由医学装备科根据《意向性购销协议》线下采购。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lang w:eastAsia="zh-CN"/>
        </w:rPr>
      </w:pPr>
      <w:r>
        <w:rPr>
          <w:rFonts w:hint="eastAsia" w:ascii="方正楷体_GBK" w:hAnsi="方正楷体_GBK" w:eastAsia="方正楷体_GBK" w:cs="方正楷体_GBK"/>
          <w:sz w:val="32"/>
          <w:szCs w:val="32"/>
          <w:shd w:val="clear" w:color="auto" w:fill="FFFFFF"/>
        </w:rPr>
        <w:t>（二）拟进的品目种类</w:t>
      </w:r>
      <w:r>
        <w:rPr>
          <w:rFonts w:hint="eastAsia" w:ascii="方正楷体_GBK" w:hAnsi="方正楷体_GBK" w:eastAsia="方正楷体_GBK" w:cs="方正楷体_GBK"/>
          <w:sz w:val="32"/>
          <w:szCs w:val="32"/>
          <w:shd w:val="clear" w:color="auto" w:fill="FFFFFF"/>
          <w:lang w:eastAsia="zh-CN"/>
        </w:rPr>
        <w:t>（以下项目为一整包，不分包）</w:t>
      </w:r>
    </w:p>
    <w:tbl>
      <w:tblPr>
        <w:tblStyle w:val="19"/>
        <w:tblW w:w="8418" w:type="dxa"/>
        <w:tblInd w:w="0" w:type="dxa"/>
        <w:shd w:val="clear" w:color="auto" w:fill="auto"/>
        <w:tblLayout w:type="fixed"/>
        <w:tblCellMar>
          <w:top w:w="0" w:type="dxa"/>
          <w:left w:w="0" w:type="dxa"/>
          <w:bottom w:w="0" w:type="dxa"/>
          <w:right w:w="0" w:type="dxa"/>
        </w:tblCellMar>
      </w:tblPr>
      <w:tblGrid>
        <w:gridCol w:w="1051"/>
        <w:gridCol w:w="1149"/>
        <w:gridCol w:w="683"/>
        <w:gridCol w:w="422"/>
        <w:gridCol w:w="655"/>
        <w:gridCol w:w="4043"/>
        <w:gridCol w:w="415"/>
      </w:tblGrid>
      <w:tr>
        <w:tblPrEx>
          <w:shd w:val="clear" w:color="auto" w:fill="auto"/>
          <w:tblLayout w:type="fixed"/>
          <w:tblCellMar>
            <w:top w:w="0" w:type="dxa"/>
            <w:left w:w="0" w:type="dxa"/>
            <w:bottom w:w="0" w:type="dxa"/>
            <w:right w:w="0" w:type="dxa"/>
          </w:tblCellMar>
        </w:tblPrEx>
        <w:trPr>
          <w:trHeight w:val="86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rPr>
              <w:t>遴选产品名称</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规格型号</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单价限价（元）</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预估年销售量</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适用范围</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备注</w:t>
            </w:r>
          </w:p>
        </w:tc>
      </w:tr>
      <w:tr>
        <w:tblPrEx>
          <w:tblLayout w:type="fixed"/>
          <w:tblCellMar>
            <w:top w:w="0" w:type="dxa"/>
            <w:left w:w="0" w:type="dxa"/>
            <w:bottom w:w="0" w:type="dxa"/>
            <w:right w:w="0" w:type="dxa"/>
          </w:tblCellMar>
        </w:tblPrEx>
        <w:trPr>
          <w:trHeight w:val="98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聚氨酯透明敷料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66994006 7CM*9CM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8.5</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14000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适用于导管固定。透明敷料具有良好的潮气通透性，可预防细菌感染，同时具有防水功能。产品敷料底部的背衬纸上有三条用做固定条和文档标签的无纺布胶贴。</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85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透明敷料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4007 6×7cm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5.05</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116100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适用于导管固定。透明敷料具有良好的潮气通透性，可预防细菌感染，同时具有防水功能。产品敷料底部的背衬纸上有三条用做固定条和文档标签的无纺布胶贴。</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85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透明敷料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4008 10*12cm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15.6</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6400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适用于导管固定。透明敷料具有良好的潮气通透性，可预防细菌感染，同时具有防水功能。产品敷料底部的背衬纸上有三条用做固定条和文档标签的无纺布胶贴。</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85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透明敷料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66004009 9cm*12cm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15.6</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2300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适用于导管固定。透明敷料具有良好的潮气通透性，可预防细菌感染，同时具有防水功能。产品敷料底部的背衬纸上有三条用做固定条和文档标签的无纺布胶贴。</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142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一次性使用防水敷料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66590714 25cmX10cm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41.26</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可用于渗液水平为低到中等的急性伤口的贴敷和护理，如术后切口、术后创面、浅表性创面、磨损、划破或割破、穿刺伤口、撕裂伤口、一度至浅二度烧烫伤创面。为伤口提供适度湿润的愈合环境。提供阻菌及防水的屏障，可以吸收渗液并透出潮气，不粘连伤口</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142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一次性使用防水敷料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66590713 20cmX10cm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31</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可用于渗液水平为低到中等的急性伤口的贴敷和护理，如术后切口、术后创面、浅表性创面、磨损、划破或割破、穿刺伤口、撕裂伤口、一度至浅二度烧烫伤创面。为伤口提供适度湿润的愈合环境。提供阻菌及防水的屏障，可以吸收渗液并透出潮气，不粘连伤口</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142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一次性使用防水敷料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66590708 6.5cmX5cm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13</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2600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可用于渗液水平为低到中等的急性伤口的贴敷和护理，如术后切口、术后创面、浅表性创面、磨损、划破或割破、穿刺伤口、撕裂伤口、一度至浅二度烧烫伤创面。为伤口提供适度湿润的愈合环境。提供阻菌及防水的屏障，可以吸收渗液并透出潮气，不粘连伤口</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142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一次性使用防水敷料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66590712 15.5cmX8.5cm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35</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可用于渗液水平为低到中等的急性伤口的贴敷和护理，如术后切口、术后创面、浅表性创面、磨损、划破或割破、穿刺伤口、撕裂伤口、一度至浅二度烧烫伤创面。为伤口提供适度湿润的愈合环境。提供阻菌及防水的屏障，可以吸收渗液并透出潮气，不粘连伤口</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142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一次性使用防水敷料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66590709 9.5cmX8.5cm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26</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360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可用于渗液水平为低到中等的急性伤口的贴敷和护理，如术后切口、术后创面、浅表性创面、磨损、划破或割破、穿刺伤口、撕裂伤口、一度至浅二度烧烫伤创面。为伤口提供适度湿润的愈合环境。提供阻菌及防水的屏障，可以吸收渗液并透出潮气，不粘连伤口</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114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葡萄糖酸氯己定抗菌透明敷料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1657R 8.5cm*11.5cm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110</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25</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产品适用于在体表覆盖和保护导管部位（覆盖动静脉导管，血管内导管和经皮器械）,将器械固定在健康皮肤上。本产品不可使用在破溃伤口或者不健康皮肤上。由透明敷料和凝胶衬垫组成。凝胶衬垫含有2% (w/w)的葡萄糖酸氯己定（CHG）</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142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聚酯泡沫敷料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90611</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 10cm*11cm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54</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作用于有中度到重度度渗出物的各级体表性伤口的基础敷料，包括：压力性溃疡、腿部静脉溃疡、擦伤、 一级或二级烧伤、捐皮区、动脉溃疡、皮肤撕裂、神经性溃疡；作为与伤口充填物（如纱布或藻酸盐敷料）一起使用的二级（覆盖性）敷料； 在腿部静脉溃疡治疗时，在压力性包扎系统下使用。</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142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聚酯泡沫敷料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90613</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14.3cm*15.6cm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66</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2100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作用于有中度到重度度渗出物的各级体表性伤口的基础敷料，包括：压力性溃疡、腿部静脉溃疡、擦伤、 一级或二级烧伤、捐皮区、动脉溃疡、皮肤撕裂、神经性溃疡；作为与伤口充填物（如纱布或藻酸盐敷料）一起使用的二级（覆盖性）敷料； 在腿部静脉溃疡治疗时，在压力性包扎系统下使用。</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78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水胶体敷料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90022T</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10*10cm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39.3</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430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本产品适用于表浅擦伤、裂伤、破皮、一度烫伤、慢性褥疮。累积使用时间不超过28天。</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85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自粘性软聚硅酮泡沫敷料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211300 15*15</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150</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475</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自粘性软聚硅酮泡沫敷料可以适用于渗出性的急性和慢性伤口。例如腿或足部溃疡、褥疮；也适用于外伤伤口，如皮肤撕裂伤和二期愈合伤口</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85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自粘性软聚硅酮普通型泡沫敷料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294100 10cm*10cm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99.9</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1540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自粘性软聚硅酮泡沫敷料可以适用于渗出性的急性和慢性伤口。例如腿或足部溃疡、褥疮；也适用于外伤伤口，如皮肤撕裂伤和二期愈合伤口</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57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自粘性软聚硅酮有边型泡沫敷料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595300  10cm*10cm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99.9</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350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自粘性软聚硅酮有边型泡沫敷料可以用于渗液较多的创面，压疮，腿或足部溃疡和外伤创面，皮肤撕脱伤和外科创面。</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57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液体敷料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3343  1ml/片</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9.5</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13000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用于涂于患处皮肤，保护皮肤免受污染或擦伤。适用于非慢性创面</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57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液体敷料</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3346E，28ml</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151.2</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片</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480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用于涂于患处皮肤，保护皮肤免受污染或擦伤。适用于非慢性创面</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66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弹力绷带</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1582  50mm*4.5m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24.3</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108</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用于对创面敷料、绷带等提供粘贴力，以起到固定作用</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78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弹力绷带</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 1583  75mm*4.5m</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30.18</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480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用于对创面敷或肢体提供束缚力，以起到包扎、固定作用</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72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一次性使用组合吸痰管</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A6</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18</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支</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9000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用于呼吸道吸痰使用或用于清理口腔内痰液用</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88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一次性使用鼻胃肠管</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A212-8</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99.9</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支</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用于短期鼻饲营养或胃肠减压，适用于胃动力正常患者的胃内管饲喂养，导管材质TPU  </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76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数字抗返流引流袋</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OT-AI-YI2000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150</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适用于与插入体内的引流管相连接，向外引出并收集体内的液体</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6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负压引流器</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A型引流袋</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22</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4500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用于向外引出并收集体内液体</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6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负压引流器</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B型引流袋</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22</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个</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3000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用于向外引出并收集体内液体</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35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一次性泵用避光注射器</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50ml</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支</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和动力驱动注射泵配套使用，用于抽吸药液后用注射泵注射药，兼容手动注射，产品避光范围为290nm~450nm，适用于盐酸多巴胺注射液、尼莫地平、硝普钠等光敏感药物的输注。 符合重庆收费政策； 避光型针筒为双层结构，避光剂不与药液接触； 螺旋接口； </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r>
        <w:tblPrEx>
          <w:tblLayout w:type="fixed"/>
          <w:tblCellMar>
            <w:top w:w="0" w:type="dxa"/>
            <w:left w:w="0" w:type="dxa"/>
            <w:bottom w:w="0" w:type="dxa"/>
            <w:right w:w="0" w:type="dxa"/>
          </w:tblCellMar>
        </w:tblPrEx>
        <w:trPr>
          <w:trHeight w:val="85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一次性泵用注射器</w:t>
            </w:r>
          </w:p>
        </w:tc>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50ml</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支</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500</w:t>
            </w:r>
          </w:p>
        </w:tc>
        <w:tc>
          <w:tcPr>
            <w:tcW w:w="4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本产品与注射泵配套使用，供抽吸液体或在注入液体后立即注射。可耐受200kPa压力值。符合重庆收费政策； 锁定式螺旋接口，与各种延长管匹配； 明确标识压力值</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18"/>
                <w:szCs w:val="18"/>
                <w:u w:val="none"/>
              </w:rPr>
            </w:pPr>
          </w:p>
        </w:tc>
      </w:tr>
    </w:tbl>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备注：</w:t>
      </w:r>
    </w:p>
    <w:p>
      <w:pPr>
        <w:widowControl/>
        <w:numPr>
          <w:ilvl w:val="0"/>
          <w:numId w:val="2"/>
        </w:numPr>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参与人推介的耗材试剂产品，均须是在重庆市药交所交易的产品，遴选参与人应提供产品在重庆药交所产品挂网的截屏资料，后续采购必须从药交所线上采购。</w:t>
      </w:r>
    </w:p>
    <w:p>
      <w:pPr>
        <w:widowControl/>
        <w:numPr>
          <w:numId w:val="0"/>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3</w:t>
      </w:r>
      <w:r>
        <w:rPr>
          <w:rFonts w:hint="eastAsia" w:ascii="宋体" w:hAnsi="宋体" w:eastAsia="宋体" w:cs="宋体"/>
          <w:color w:val="000000"/>
          <w:kern w:val="0"/>
          <w:szCs w:val="21"/>
          <w:lang w:bidi="ar"/>
        </w:rPr>
        <w:t>.上述证明材料，在遴选参与人应编制于《遴选参与文件》内第（四）部分，并在向医院递交《遴选参与文件》时开封文件提示医院审核。</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4</w:t>
      </w:r>
      <w:r>
        <w:rPr>
          <w:rFonts w:hint="eastAsia" w:ascii="宋体" w:hAnsi="宋体" w:eastAsia="宋体" w:cs="宋体"/>
          <w:color w:val="000000"/>
          <w:kern w:val="0"/>
          <w:szCs w:val="21"/>
          <w:lang w:bidi="ar"/>
        </w:rPr>
        <w:t>.经医院审核，未提供或提供资料不符合上述要求者，产品业绩及相关报价无效；产品丧失中选资格。</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5</w:t>
      </w:r>
      <w:r>
        <w:rPr>
          <w:rFonts w:hint="eastAsia" w:ascii="宋体" w:hAnsi="宋体" w:eastAsia="宋体" w:cs="宋体"/>
          <w:color w:val="000000"/>
          <w:kern w:val="0"/>
          <w:szCs w:val="21"/>
          <w:lang w:bidi="ar"/>
        </w:rPr>
        <w:t>.参与人报名时提供参与包的所有型号样品不低于</w:t>
      </w:r>
      <w:r>
        <w:rPr>
          <w:rFonts w:hint="eastAsia" w:ascii="宋体" w:hAnsi="宋体" w:eastAsia="宋体" w:cs="宋体"/>
          <w:color w:val="000000"/>
          <w:kern w:val="0"/>
          <w:szCs w:val="21"/>
          <w:lang w:val="en-US" w:eastAsia="zh-CN" w:bidi="ar"/>
        </w:rPr>
        <w:t>5套</w:t>
      </w:r>
      <w:r>
        <w:rPr>
          <w:rFonts w:hint="eastAsia" w:ascii="宋体" w:hAnsi="宋体" w:eastAsia="宋体" w:cs="宋体"/>
          <w:color w:val="000000"/>
          <w:kern w:val="0"/>
          <w:szCs w:val="21"/>
          <w:lang w:bidi="ar"/>
        </w:rPr>
        <w:t>样品，供医院测试核验是否符合本院的医疗质量与安全基本要求（样品测试核验后医院不予退回）。</w:t>
      </w:r>
    </w:p>
    <w:p>
      <w:pPr>
        <w:widowControl/>
        <w:jc w:val="left"/>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val="en-US" w:eastAsia="zh-CN" w:bidi="ar"/>
        </w:rPr>
        <w:t>6</w:t>
      </w:r>
      <w:r>
        <w:rPr>
          <w:rFonts w:hint="eastAsia" w:ascii="宋体" w:hAnsi="宋体" w:eastAsia="宋体" w:cs="宋体"/>
          <w:color w:val="000000"/>
          <w:kern w:val="0"/>
          <w:szCs w:val="21"/>
          <w:lang w:bidi="ar"/>
        </w:rPr>
        <w:t>.上述型号是我院在用型号，参与人推介的产品名称及型号可与上表中不一致，但作用、范围、功能必须与该型号的产品作用、范围、功能一致</w:t>
      </w:r>
      <w:r>
        <w:rPr>
          <w:rFonts w:hint="eastAsia" w:ascii="宋体" w:hAnsi="宋体" w:eastAsia="宋体" w:cs="宋体"/>
          <w:color w:val="000000"/>
          <w:kern w:val="0"/>
          <w:szCs w:val="21"/>
          <w:lang w:eastAsia="zh-CN" w:bidi="ar"/>
        </w:rPr>
        <w:t>。</w:t>
      </w:r>
    </w:p>
    <w:p>
      <w:pPr>
        <w:widowControl/>
        <w:jc w:val="left"/>
        <w:textAlignment w:val="center"/>
        <w:rPr>
          <w:rFonts w:hint="default"/>
          <w:lang w:val="en-US" w:eastAsia="zh-CN"/>
        </w:rPr>
      </w:pPr>
      <w:r>
        <w:rPr>
          <w:rFonts w:hint="eastAsia" w:ascii="宋体" w:hAnsi="宋体" w:eastAsia="宋体" w:cs="宋体"/>
          <w:color w:val="000000"/>
          <w:kern w:val="0"/>
          <w:szCs w:val="21"/>
          <w:lang w:val="en-US" w:eastAsia="zh-CN" w:bidi="ar"/>
        </w:rPr>
        <w:t>7.本项目不分包，以上</w:t>
      </w:r>
      <w:r>
        <w:rPr>
          <w:rFonts w:hint="eastAsia" w:ascii="宋体" w:hAnsi="宋体" w:eastAsia="宋体" w:cs="宋体"/>
          <w:i w:val="0"/>
          <w:color w:val="000000"/>
          <w:kern w:val="0"/>
          <w:sz w:val="21"/>
          <w:szCs w:val="21"/>
          <w:u w:val="none"/>
          <w:lang w:val="en-US" w:eastAsia="zh-CN" w:bidi="ar"/>
        </w:rPr>
        <w:t>所有耗材为一整包，报名供应商必须参与本项目的所有产品遴选。</w:t>
      </w:r>
    </w:p>
    <w:p>
      <w:pPr>
        <w:pStyle w:val="2"/>
        <w:sectPr>
          <w:pgSz w:w="11906" w:h="16838"/>
          <w:pgMar w:top="1440" w:right="1803" w:bottom="1440" w:left="1803" w:header="851" w:footer="992" w:gutter="0"/>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3"/>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4</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2.上述证明材料，在遴选参与人应编制于《遴选参与文件》内，并在向医院递交《遴选参与文件》时开封文件提示医院审核。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：韦老师</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联系方式: 023-45656920</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邮箱：136356757@QQ.COM</w:t>
      </w:r>
    </w:p>
    <w:p>
      <w:pPr>
        <w:tabs>
          <w:tab w:val="left" w:pos="978"/>
        </w:tabs>
        <w:jc w:val="left"/>
        <w:sectPr>
          <w:pgSz w:w="11906" w:h="16838"/>
          <w:pgMar w:top="1440" w:right="1803" w:bottom="1440" w:left="1803" w:header="851" w:footer="992" w:gutter="0"/>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ascii="方正楷体_GBK" w:hAnsi="方正楷体_GBK" w:eastAsia="方正楷体_GBK" w:cs="方正楷体_GBK"/>
          <w:kern w:val="0"/>
          <w:sz w:val="32"/>
          <w:szCs w:val="32"/>
          <w:shd w:val="clear" w:color="auto" w:fill="FFFFFF"/>
          <w:lang w:bidi="ar"/>
        </w:rPr>
      </w:pPr>
      <w:r>
        <w:rPr>
          <w:rFonts w:hint="eastAsia"/>
          <w:lang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Excel.Sheet.12" ShapeID="_x0000_i1025" DrawAspect="Icon" ObjectID="_1468075725" r:id="rId4">
            <o:LockedField>false</o:LockedField>
          </o:OLEObject>
        </w:object>
      </w:r>
    </w:p>
    <w:p>
      <w:pPr>
        <w:rPr>
          <w:rFonts w:hint="eastAsia"/>
          <w:lang w:eastAsia="zh-CN"/>
        </w:rPr>
        <w:sectPr>
          <w:pgSz w:w="11906" w:h="16838"/>
          <w:pgMar w:top="1440" w:right="1803" w:bottom="1440" w:left="1803" w:header="851" w:footer="992" w:gutter="0"/>
          <w:cols w:space="0" w:num="1"/>
          <w:docGrid w:type="lines" w:linePitch="319" w:charSpace="0"/>
        </w:sectPr>
      </w:pP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cols w:space="0" w:num="1"/>
          <w:docGrid w:type="lines" w:linePitch="319" w:charSpace="0"/>
        </w:sectPr>
      </w:pPr>
      <w:r>
        <w:rPr>
          <w:rFonts w:hint="eastAsia" w:ascii="方正仿宋_GBK" w:hAnsi="方正仿宋_GBK" w:eastAsia="方正仿宋_GBK" w:cs="方正仿宋_GBK"/>
          <w:kern w:val="0"/>
          <w:sz w:val="28"/>
          <w:szCs w:val="28"/>
        </w:rPr>
        <w:t xml:space="preserve">                                    年   月   日</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C72CCAAC"/>
    <w:multiLevelType w:val="singleLevel"/>
    <w:tmpl w:val="C72CCAAC"/>
    <w:lvl w:ilvl="0" w:tentative="0">
      <w:start w:val="1"/>
      <w:numFmt w:val="decimal"/>
      <w:lvlText w:val="%1."/>
      <w:lvlJc w:val="left"/>
      <w:pPr>
        <w:tabs>
          <w:tab w:val="left" w:pos="312"/>
        </w:tabs>
      </w:pPr>
    </w:lvl>
  </w:abstractNum>
  <w:abstractNum w:abstractNumId="2">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A4D4E1A"/>
    <w:rsid w:val="0C233F32"/>
    <w:rsid w:val="11B8311C"/>
    <w:rsid w:val="1368716E"/>
    <w:rsid w:val="1CC24D43"/>
    <w:rsid w:val="1D095D80"/>
    <w:rsid w:val="1DF84B02"/>
    <w:rsid w:val="1EDD6F03"/>
    <w:rsid w:val="22B74101"/>
    <w:rsid w:val="23766A7B"/>
    <w:rsid w:val="23EE3F4D"/>
    <w:rsid w:val="25EB176A"/>
    <w:rsid w:val="28634F81"/>
    <w:rsid w:val="2913501D"/>
    <w:rsid w:val="2937657E"/>
    <w:rsid w:val="29C05316"/>
    <w:rsid w:val="2A8953E4"/>
    <w:rsid w:val="35036AA1"/>
    <w:rsid w:val="357905CB"/>
    <w:rsid w:val="358513D9"/>
    <w:rsid w:val="3680137C"/>
    <w:rsid w:val="3A791B6D"/>
    <w:rsid w:val="3B6A3B47"/>
    <w:rsid w:val="3F6B203E"/>
    <w:rsid w:val="43511956"/>
    <w:rsid w:val="48002A7E"/>
    <w:rsid w:val="4AB74A93"/>
    <w:rsid w:val="4D6C500D"/>
    <w:rsid w:val="528457B4"/>
    <w:rsid w:val="52C7243B"/>
    <w:rsid w:val="53B50C25"/>
    <w:rsid w:val="54CC3EFB"/>
    <w:rsid w:val="573C2832"/>
    <w:rsid w:val="5AA86F4D"/>
    <w:rsid w:val="5B7A2DD4"/>
    <w:rsid w:val="5D91216F"/>
    <w:rsid w:val="604518C4"/>
    <w:rsid w:val="61B5050F"/>
    <w:rsid w:val="63722379"/>
    <w:rsid w:val="63E24175"/>
    <w:rsid w:val="649840F8"/>
    <w:rsid w:val="654224FB"/>
    <w:rsid w:val="654D52C4"/>
    <w:rsid w:val="6B287715"/>
    <w:rsid w:val="6C4966FA"/>
    <w:rsid w:val="6DEE05F8"/>
    <w:rsid w:val="735C6E39"/>
    <w:rsid w:val="752010CE"/>
    <w:rsid w:val="754430EE"/>
    <w:rsid w:val="756A41FF"/>
    <w:rsid w:val="760778C3"/>
    <w:rsid w:val="769727FB"/>
    <w:rsid w:val="76C17B77"/>
    <w:rsid w:val="7D753D57"/>
    <w:rsid w:val="7F10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2</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2023-08-18T01:05:00Z</cp:lastPrinted>
  <dcterms:modified xsi:type="dcterms:W3CDTF">2024-01-29T07:01:01Z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