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outlineLvl w:val="0"/>
        <w:rPr>
          <w:rFonts w:hint="eastAsia" w:ascii="仿宋" w:hAnsi="仿宋" w:eastAsia="仿宋" w:cs="华文中宋"/>
          <w:b/>
          <w:sz w:val="84"/>
          <w:szCs w:val="84"/>
        </w:rPr>
      </w:pPr>
      <w:r>
        <w:rPr>
          <w:rFonts w:hint="eastAsia" w:ascii="仿宋" w:hAnsi="仿宋" w:eastAsia="仿宋" w:cs="华文中宋"/>
          <w:b/>
          <w:sz w:val="84"/>
          <w:szCs w:val="84"/>
        </w:rPr>
        <w:t xml:space="preserve"> </w:t>
      </w:r>
      <w:bookmarkStart w:id="0" w:name="_Toc30412"/>
      <w:bookmarkStart w:id="1" w:name="_Toc23878"/>
      <w:bookmarkStart w:id="2" w:name="_Toc4049"/>
      <w:r>
        <w:rPr>
          <w:rFonts w:hint="eastAsia" w:ascii="仿宋" w:hAnsi="仿宋" w:eastAsia="仿宋" w:cs="华文中宋"/>
          <w:b/>
          <w:sz w:val="84"/>
          <w:szCs w:val="84"/>
        </w:rPr>
        <w:t>重庆市铜梁区人民医院</w:t>
      </w:r>
      <w:bookmarkEnd w:id="0"/>
      <w:bookmarkEnd w:id="1"/>
      <w:bookmarkEnd w:id="2"/>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眼科手术器械</w:t>
      </w:r>
    </w:p>
    <w:p>
      <w:pPr>
        <w:adjustRightInd w:val="0"/>
        <w:snapToGrid w:val="0"/>
        <w:spacing w:line="360" w:lineRule="auto"/>
        <w:ind w:firstLine="663" w:firstLineChars="150"/>
        <w:outlineLvl w:val="0"/>
        <w:rPr>
          <w:rFonts w:hint="eastAsia" w:ascii="仿宋" w:hAnsi="仿宋" w:eastAsia="仿宋" w:cs="华文中宋"/>
          <w:b/>
          <w:sz w:val="44"/>
          <w:szCs w:val="44"/>
          <w:lang w:eastAsia="zh-CN"/>
        </w:rPr>
      </w:pPr>
      <w:bookmarkStart w:id="3" w:name="_Toc24405"/>
      <w:bookmarkStart w:id="4" w:name="_Toc25426"/>
      <w:bookmarkStart w:id="5" w:name="_Toc19948"/>
      <w:r>
        <w:rPr>
          <w:rFonts w:hint="eastAsia" w:ascii="仿宋" w:hAnsi="仿宋" w:eastAsia="仿宋" w:cs="华文中宋"/>
          <w:b/>
          <w:sz w:val="44"/>
          <w:szCs w:val="44"/>
        </w:rPr>
        <w:t>项目编号：</w:t>
      </w:r>
      <w:bookmarkEnd w:id="3"/>
      <w:bookmarkEnd w:id="4"/>
      <w:bookmarkEnd w:id="5"/>
      <w:r>
        <w:rPr>
          <w:rFonts w:hint="eastAsia" w:ascii="仿宋" w:hAnsi="仿宋" w:cs="华文中宋"/>
          <w:b/>
          <w:sz w:val="44"/>
          <w:szCs w:val="44"/>
          <w:lang w:eastAsia="zh-CN"/>
        </w:rPr>
        <w:t>TYC（询）2024-014</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078"/>
      <w:bookmarkStart w:id="7" w:name="_Toc178"/>
      <w:bookmarkStart w:id="8" w:name="_Toc21379"/>
      <w:r>
        <w:rPr>
          <w:rFonts w:hint="eastAsia" w:ascii="仿宋" w:hAnsi="仿宋" w:eastAsia="仿宋" w:cs="华文中宋"/>
          <w:b/>
          <w:sz w:val="44"/>
          <w:szCs w:val="44"/>
        </w:rPr>
        <w:t>采 购 人：重庆市铜梁区人民医院</w:t>
      </w:r>
      <w:bookmarkEnd w:id="6"/>
      <w:bookmarkEnd w:id="7"/>
      <w:bookmarkEnd w:id="8"/>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9" w:name="_Toc31576"/>
      <w:bookmarkStart w:id="10" w:name="_Toc30537"/>
      <w:bookmarkStart w:id="11" w:name="_Toc23577"/>
      <w:r>
        <w:rPr>
          <w:rFonts w:hint="eastAsia" w:ascii="仿宋" w:hAnsi="仿宋" w:eastAsia="仿宋" w:cs="华文中宋"/>
          <w:b/>
          <w:sz w:val="28"/>
          <w:szCs w:val="28"/>
        </w:rPr>
        <w:t>重庆市铜梁区人民医院制</w:t>
      </w:r>
      <w:bookmarkEnd w:id="9"/>
      <w:bookmarkEnd w:id="10"/>
      <w:bookmarkEnd w:id="11"/>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2" w:name="_Toc27085"/>
      <w:bookmarkStart w:id="13" w:name="_Toc967"/>
      <w:bookmarkStart w:id="14" w:name="_Toc11779"/>
      <w:r>
        <w:rPr>
          <w:rFonts w:hint="eastAsia" w:ascii="仿宋" w:hAnsi="仿宋" w:eastAsia="仿宋" w:cs="华文中宋"/>
          <w:b/>
          <w:sz w:val="36"/>
          <w:szCs w:val="36"/>
        </w:rPr>
        <w:t>二0二</w:t>
      </w:r>
      <w:r>
        <w:rPr>
          <w:rFonts w:hint="eastAsia" w:ascii="仿宋" w:hAnsi="仿宋" w:cs="华文中宋"/>
          <w:b/>
          <w:sz w:val="36"/>
          <w:szCs w:val="36"/>
          <w:lang w:eastAsia="zh-CN"/>
        </w:rPr>
        <w:t>四</w:t>
      </w:r>
      <w:r>
        <w:rPr>
          <w:rFonts w:hint="eastAsia" w:ascii="仿宋" w:hAnsi="仿宋" w:eastAsia="仿宋" w:cs="华文中宋"/>
          <w:b/>
          <w:sz w:val="36"/>
          <w:szCs w:val="36"/>
        </w:rPr>
        <w:t>年</w:t>
      </w:r>
      <w:r>
        <w:rPr>
          <w:rFonts w:hint="eastAsia" w:ascii="仿宋" w:hAnsi="仿宋" w:cs="华文中宋"/>
          <w:b/>
          <w:sz w:val="36"/>
          <w:szCs w:val="36"/>
          <w:lang w:eastAsia="zh-CN"/>
        </w:rPr>
        <w:t>四</w:t>
      </w:r>
      <w:r>
        <w:rPr>
          <w:rFonts w:hint="eastAsia" w:ascii="仿宋" w:hAnsi="仿宋" w:eastAsia="仿宋" w:cs="华文中宋"/>
          <w:b/>
          <w:sz w:val="36"/>
          <w:szCs w:val="36"/>
        </w:rPr>
        <w:t>月</w:t>
      </w:r>
      <w:bookmarkEnd w:id="12"/>
      <w:bookmarkEnd w:id="13"/>
      <w:bookmarkEnd w:id="14"/>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kern w:val="2"/>
          <w:sz w:val="28"/>
          <w:szCs w:val="28"/>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目录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_Toc9378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第一篇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_Toc9378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_Toc11662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一、项目采购清单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_Toc21732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二、投标人资质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_Toc21732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_Toc10988 </w:instrText>
          </w:r>
          <w:r>
            <w:rPr>
              <w:rFonts w:hint="eastAsia" w:ascii="仿宋" w:hAnsi="仿宋" w:eastAsia="仿宋" w:cs="仿宋"/>
              <w:sz w:val="28"/>
              <w:szCs w:val="28"/>
            </w:rPr>
            <w:fldChar w:fldCharType="separate"/>
          </w:r>
          <w:r>
            <w:rPr>
              <w:rFonts w:hint="eastAsia" w:ascii="仿宋" w:hAnsi="仿宋" w:eastAsia="仿宋" w:cs="仿宋"/>
              <w:sz w:val="28"/>
              <w:szCs w:val="28"/>
            </w:rPr>
            <w:t>三、询价采购文件的获取及报名截止时间、地点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_Toc17354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eastAsia="zh-CN" w:bidi="ar-SA"/>
            </w:rPr>
            <w:t>四、递交投标文件及开标时间、地点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_Toc17354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_Toc4387 </w:instrText>
          </w:r>
          <w:r>
            <w:rPr>
              <w:rFonts w:hint="eastAsia" w:ascii="仿宋" w:hAnsi="仿宋" w:eastAsia="仿宋" w:cs="仿宋"/>
              <w:sz w:val="28"/>
              <w:szCs w:val="28"/>
            </w:rPr>
            <w:fldChar w:fldCharType="separate"/>
          </w:r>
          <w:r>
            <w:rPr>
              <w:rFonts w:hint="eastAsia" w:ascii="仿宋" w:hAnsi="仿宋" w:eastAsia="仿宋" w:cs="仿宋"/>
              <w:sz w:val="28"/>
              <w:szCs w:val="28"/>
            </w:rPr>
            <w:t>五、项目联系人及电话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_Toc4387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_Toc7917 </w:instrText>
          </w:r>
          <w:r>
            <w:rPr>
              <w:rFonts w:hint="eastAsia" w:ascii="仿宋" w:hAnsi="仿宋" w:eastAsia="仿宋" w:cs="仿宋"/>
              <w:sz w:val="28"/>
              <w:szCs w:val="28"/>
            </w:rPr>
            <w:fldChar w:fldCharType="separate"/>
          </w:r>
          <w:r>
            <w:rPr>
              <w:rFonts w:hint="eastAsia" w:ascii="仿宋" w:hAnsi="仿宋" w:eastAsia="仿宋" w:cs="仿宋"/>
              <w:sz w:val="28"/>
              <w:szCs w:val="28"/>
            </w:rPr>
            <w:t>六、监督管理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_Toc7917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_Toc6913 </w:instrText>
          </w:r>
          <w:r>
            <w:rPr>
              <w:rFonts w:hint="eastAsia" w:ascii="仿宋" w:hAnsi="仿宋" w:eastAsia="仿宋" w:cs="仿宋"/>
              <w:sz w:val="28"/>
              <w:szCs w:val="28"/>
            </w:rPr>
            <w:fldChar w:fldCharType="separate"/>
          </w:r>
          <w:r>
            <w:rPr>
              <w:rFonts w:hint="eastAsia" w:ascii="仿宋" w:hAnsi="仿宋" w:eastAsia="仿宋" w:cs="仿宋"/>
              <w:sz w:val="28"/>
              <w:szCs w:val="28"/>
            </w:rPr>
            <w:t>七、解释权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_Toc6913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_Toc24994 </w:instrText>
          </w:r>
          <w:r>
            <w:rPr>
              <w:rFonts w:hint="eastAsia" w:ascii="仿宋" w:hAnsi="仿宋" w:eastAsia="仿宋" w:cs="仿宋"/>
              <w:sz w:val="28"/>
              <w:szCs w:val="28"/>
            </w:rPr>
            <w:fldChar w:fldCharType="separate"/>
          </w:r>
          <w:r>
            <w:rPr>
              <w:rFonts w:hint="eastAsia" w:ascii="仿宋" w:hAnsi="仿宋" w:eastAsia="仿宋" w:cs="仿宋"/>
              <w:sz w:val="28"/>
              <w:szCs w:val="28"/>
            </w:rPr>
            <w:t>第二篇 采购项目技术及商务要求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_Toc24994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_Toc7064 </w:instrText>
          </w:r>
          <w:r>
            <w:rPr>
              <w:rFonts w:hint="eastAsia" w:ascii="仿宋" w:hAnsi="仿宋" w:eastAsia="仿宋" w:cs="仿宋"/>
              <w:sz w:val="28"/>
              <w:szCs w:val="28"/>
            </w:rPr>
            <w:fldChar w:fldCharType="separate"/>
          </w:r>
          <w:r>
            <w:rPr>
              <w:rFonts w:hint="eastAsia" w:ascii="仿宋" w:hAnsi="仿宋" w:eastAsia="仿宋" w:cs="仿宋"/>
              <w:sz w:val="28"/>
              <w:szCs w:val="28"/>
            </w:rPr>
            <w:t>一、采购项目基本情况及限价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_Toc7064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_Toc18648 </w:instrText>
          </w:r>
          <w:r>
            <w:rPr>
              <w:rFonts w:hint="eastAsia" w:ascii="仿宋" w:hAnsi="仿宋" w:eastAsia="仿宋" w:cs="仿宋"/>
              <w:sz w:val="28"/>
              <w:szCs w:val="28"/>
            </w:rPr>
            <w:fldChar w:fldCharType="separate"/>
          </w:r>
          <w:r>
            <w:rPr>
              <w:rFonts w:hint="eastAsia" w:ascii="仿宋" w:hAnsi="仿宋" w:eastAsia="仿宋" w:cs="仿宋"/>
              <w:sz w:val="28"/>
              <w:szCs w:val="28"/>
            </w:rPr>
            <w:t>二、技术要求</w:t>
          </w:r>
          <w:r>
            <w:rPr>
              <w:rFonts w:hint="eastAsia" w:ascii="仿宋" w:hAnsi="仿宋" w:eastAsia="仿宋" w:cs="仿宋"/>
              <w:sz w:val="28"/>
              <w:szCs w:val="28"/>
              <w:lang w:eastAsia="zh-CN"/>
            </w:rPr>
            <w:t>及配置要求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_Toc18648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_Toc11282 </w:instrText>
          </w:r>
          <w:r>
            <w:rPr>
              <w:rFonts w:hint="eastAsia" w:ascii="仿宋" w:hAnsi="仿宋" w:eastAsia="仿宋" w:cs="仿宋"/>
              <w:sz w:val="28"/>
              <w:szCs w:val="28"/>
            </w:rPr>
            <w:fldChar w:fldCharType="separate"/>
          </w:r>
          <w:r>
            <w:rPr>
              <w:rFonts w:hint="eastAsia" w:ascii="仿宋" w:hAnsi="仿宋" w:eastAsia="仿宋" w:cs="仿宋"/>
              <w:sz w:val="28"/>
              <w:szCs w:val="28"/>
            </w:rPr>
            <w:t>三、商务要求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_Toc11282 \h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_Toc19201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第三篇 评标方法、评标标准、无效投标条款和废标条款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_Toc19201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_Toc9246 </w:instrText>
          </w:r>
          <w:r>
            <w:rPr>
              <w:rFonts w:hint="eastAsia" w:ascii="仿宋" w:hAnsi="仿宋" w:eastAsia="仿宋" w:cs="仿宋"/>
              <w:sz w:val="28"/>
              <w:szCs w:val="28"/>
            </w:rPr>
            <w:fldChar w:fldCharType="separate"/>
          </w:r>
          <w:r>
            <w:rPr>
              <w:rFonts w:hint="eastAsia" w:ascii="仿宋" w:hAnsi="仿宋" w:eastAsia="仿宋" w:cs="仿宋"/>
              <w:sz w:val="28"/>
              <w:szCs w:val="28"/>
            </w:rPr>
            <w:t>一、评标方法定义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_Toc9246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_Toc7598 </w:instrText>
          </w:r>
          <w:r>
            <w:rPr>
              <w:rFonts w:hint="eastAsia" w:ascii="仿宋" w:hAnsi="仿宋" w:eastAsia="仿宋" w:cs="仿宋"/>
              <w:sz w:val="28"/>
              <w:szCs w:val="28"/>
            </w:rPr>
            <w:fldChar w:fldCharType="separate"/>
          </w:r>
          <w:r>
            <w:rPr>
              <w:rFonts w:hint="eastAsia" w:ascii="仿宋" w:hAnsi="仿宋" w:eastAsia="仿宋" w:cs="仿宋"/>
              <w:sz w:val="28"/>
              <w:szCs w:val="28"/>
            </w:rPr>
            <w:t>二、评标标准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_Toc7598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_Toc16526 </w:instrText>
          </w:r>
          <w:r>
            <w:rPr>
              <w:rFonts w:hint="eastAsia" w:ascii="仿宋" w:hAnsi="仿宋" w:eastAsia="仿宋" w:cs="仿宋"/>
              <w:sz w:val="28"/>
              <w:szCs w:val="28"/>
            </w:rPr>
            <w:fldChar w:fldCharType="separate"/>
          </w:r>
          <w:r>
            <w:rPr>
              <w:rFonts w:hint="eastAsia" w:ascii="仿宋" w:hAnsi="仿宋" w:eastAsia="仿宋" w:cs="仿宋"/>
              <w:sz w:val="28"/>
              <w:szCs w:val="28"/>
            </w:rPr>
            <w:t>三、无效投标条款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_Toc16526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_Toc13240 </w:instrText>
          </w:r>
          <w:r>
            <w:rPr>
              <w:rFonts w:hint="eastAsia" w:ascii="仿宋" w:hAnsi="仿宋" w:eastAsia="仿宋" w:cs="仿宋"/>
              <w:sz w:val="28"/>
              <w:szCs w:val="28"/>
            </w:rPr>
            <w:fldChar w:fldCharType="separate"/>
          </w:r>
          <w:r>
            <w:rPr>
              <w:rFonts w:hint="eastAsia" w:ascii="仿宋" w:hAnsi="仿宋" w:eastAsia="仿宋" w:cs="仿宋"/>
              <w:sz w:val="28"/>
              <w:szCs w:val="28"/>
            </w:rPr>
            <w:t>四、废标条款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_Toc13240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_Toc18444 </w:instrText>
          </w:r>
          <w:r>
            <w:rPr>
              <w:rFonts w:hint="eastAsia" w:ascii="仿宋" w:hAnsi="仿宋" w:eastAsia="仿宋" w:cs="仿宋"/>
              <w:sz w:val="28"/>
              <w:szCs w:val="28"/>
            </w:rPr>
            <w:fldChar w:fldCharType="separate"/>
          </w:r>
          <w:r>
            <w:rPr>
              <w:rFonts w:hint="eastAsia" w:ascii="仿宋" w:hAnsi="仿宋" w:eastAsia="仿宋" w:cs="仿宋"/>
              <w:sz w:val="28"/>
              <w:szCs w:val="28"/>
            </w:rPr>
            <w:t>第四篇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_Toc18444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_Toc23180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_Toc23180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_Toc10696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二、投标文件构成要件及顺序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_Toc10696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三、投标文件的制作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_Toc26011 </w:instrText>
          </w:r>
          <w:r>
            <w:rPr>
              <w:rFonts w:hint="eastAsia" w:ascii="仿宋" w:hAnsi="仿宋" w:eastAsia="仿宋" w:cs="仿宋"/>
              <w:sz w:val="28"/>
              <w:szCs w:val="28"/>
            </w:rPr>
            <w:fldChar w:fldCharType="separate"/>
          </w:r>
          <w:r>
            <w:rPr>
              <w:rFonts w:hint="eastAsia" w:ascii="仿宋" w:hAnsi="仿宋" w:eastAsia="仿宋" w:cs="仿宋"/>
              <w:sz w:val="28"/>
              <w:szCs w:val="28"/>
            </w:rPr>
            <w:t>四、投标文件的递交和处置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_Toc26011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_Toc2396 </w:instrText>
          </w:r>
          <w:r>
            <w:rPr>
              <w:rFonts w:hint="eastAsia" w:ascii="仿宋" w:hAnsi="仿宋" w:eastAsia="仿宋" w:cs="仿宋"/>
              <w:sz w:val="28"/>
              <w:szCs w:val="28"/>
            </w:rPr>
            <w:fldChar w:fldCharType="separate"/>
          </w:r>
          <w:r>
            <w:rPr>
              <w:rFonts w:hint="eastAsia" w:ascii="仿宋" w:hAnsi="仿宋" w:eastAsia="仿宋" w:cs="仿宋"/>
              <w:sz w:val="28"/>
              <w:szCs w:val="28"/>
            </w:rPr>
            <w:t>五、投标保证金的交纳与处置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_Toc2396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_Toc11296 </w:instrText>
          </w:r>
          <w:r>
            <w:rPr>
              <w:rFonts w:hint="eastAsia" w:ascii="仿宋" w:hAnsi="仿宋" w:eastAsia="仿宋" w:cs="仿宋"/>
              <w:sz w:val="28"/>
              <w:szCs w:val="28"/>
            </w:rPr>
            <w:fldChar w:fldCharType="separate"/>
          </w:r>
          <w:r>
            <w:rPr>
              <w:rFonts w:hint="eastAsia" w:ascii="仿宋" w:hAnsi="仿宋" w:eastAsia="仿宋" w:cs="仿宋"/>
              <w:sz w:val="28"/>
              <w:szCs w:val="28"/>
            </w:rPr>
            <w:t>六、履约保证金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_Toc11296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_Toc26446 </w:instrText>
          </w:r>
          <w:r>
            <w:rPr>
              <w:rFonts w:hint="eastAsia" w:ascii="仿宋" w:hAnsi="仿宋" w:eastAsia="仿宋" w:cs="仿宋"/>
              <w:sz w:val="28"/>
              <w:szCs w:val="28"/>
            </w:rPr>
            <w:fldChar w:fldCharType="separate"/>
          </w:r>
          <w:r>
            <w:rPr>
              <w:rFonts w:hint="eastAsia" w:ascii="仿宋" w:hAnsi="仿宋" w:eastAsia="仿宋" w:cs="仿宋"/>
              <w:sz w:val="28"/>
              <w:szCs w:val="28"/>
            </w:rPr>
            <w:t>七、询价开标程序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_Toc26446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_Toc3621 </w:instrText>
          </w:r>
          <w:r>
            <w:rPr>
              <w:rFonts w:hint="eastAsia" w:ascii="仿宋" w:hAnsi="仿宋" w:eastAsia="仿宋" w:cs="仿宋"/>
              <w:sz w:val="28"/>
              <w:szCs w:val="28"/>
            </w:rPr>
            <w:fldChar w:fldCharType="separate"/>
          </w:r>
          <w:r>
            <w:rPr>
              <w:rFonts w:hint="eastAsia" w:ascii="仿宋" w:hAnsi="仿宋" w:eastAsia="仿宋" w:cs="仿宋"/>
              <w:sz w:val="28"/>
              <w:szCs w:val="28"/>
            </w:rPr>
            <w:t>八、采购结果公示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_Toc3621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_Toc17125 </w:instrText>
          </w:r>
          <w:r>
            <w:rPr>
              <w:rFonts w:hint="eastAsia" w:ascii="仿宋" w:hAnsi="仿宋" w:eastAsia="仿宋" w:cs="仿宋"/>
              <w:sz w:val="28"/>
              <w:szCs w:val="28"/>
            </w:rPr>
            <w:fldChar w:fldCharType="separate"/>
          </w:r>
          <w:r>
            <w:rPr>
              <w:rFonts w:hint="eastAsia" w:ascii="仿宋" w:hAnsi="仿宋" w:eastAsia="仿宋" w:cs="仿宋"/>
              <w:sz w:val="28"/>
              <w:szCs w:val="28"/>
            </w:rPr>
            <w:t>九、合同签订及备案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_Toc17125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_Toc4308 </w:instrText>
          </w:r>
          <w:r>
            <w:rPr>
              <w:rFonts w:hint="eastAsia" w:ascii="仿宋" w:hAnsi="仿宋" w:eastAsia="仿宋" w:cs="仿宋"/>
              <w:sz w:val="28"/>
              <w:szCs w:val="28"/>
            </w:rPr>
            <w:fldChar w:fldCharType="separate"/>
          </w:r>
          <w:r>
            <w:rPr>
              <w:rFonts w:hint="eastAsia" w:ascii="仿宋" w:hAnsi="仿宋" w:eastAsia="仿宋" w:cs="仿宋"/>
              <w:sz w:val="28"/>
              <w:szCs w:val="28"/>
            </w:rPr>
            <w:t>第五篇 投标文件部分内容格式及附件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_Toc4308 \h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kinsoku/>
            <w:wordWrap/>
            <w:overflowPunct/>
            <w:topLinePunct w:val="0"/>
            <w:autoSpaceDE/>
            <w:autoSpaceDN/>
            <w:bidi w:val="0"/>
            <w:adjustRightInd/>
            <w:snapToGrid/>
            <w:spacing w:line="440" w:lineRule="exact"/>
            <w:textAlignment w:val="auto"/>
            <w:rPr>
              <w:sz w:val="28"/>
              <w:szCs w:val="28"/>
            </w:rPr>
          </w:pPr>
          <w:r>
            <w:rPr>
              <w:rFonts w:hint="eastAsia" w:ascii="仿宋" w:hAnsi="仿宋" w:eastAsia="仿宋" w:cs="仿宋"/>
              <w:sz w:val="28"/>
              <w:szCs w:val="28"/>
            </w:rPr>
            <w:fldChar w:fldCharType="end"/>
          </w:r>
        </w:p>
      </w:sdtContent>
    </w:sdt>
    <w:p>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spacing w:val="-20"/>
          <w:position w:val="6"/>
          <w:sz w:val="30"/>
          <w:szCs w:val="30"/>
        </w:rPr>
      </w:pPr>
      <w:bookmarkStart w:id="15" w:name="_Toc9378"/>
      <w:r>
        <w:rPr>
          <w:rFonts w:hint="eastAsia"/>
        </w:rPr>
        <w:t>第一篇 采购公告</w:t>
      </w:r>
      <w:bookmarkEnd w:id="15"/>
    </w:p>
    <w:p>
      <w:pPr>
        <w:adjustRightInd w:val="0"/>
        <w:snapToGrid w:val="0"/>
        <w:spacing w:line="440" w:lineRule="exact"/>
        <w:ind w:firstLine="560" w:firstLineChars="200"/>
        <w:rPr>
          <w:rFonts w:ascii="仿宋" w:hAnsi="仿宋" w:eastAsia="仿宋" w:cs="宋体"/>
          <w:sz w:val="28"/>
          <w:szCs w:val="28"/>
        </w:rPr>
      </w:pPr>
      <w:r>
        <w:rPr>
          <w:rFonts w:hint="eastAsia" w:ascii="仿宋" w:hAnsi="仿宋" w:cs="宋体"/>
          <w:sz w:val="28"/>
          <w:szCs w:val="28"/>
          <w:lang w:eastAsia="zh-CN"/>
        </w:rPr>
        <w:t>经</w:t>
      </w:r>
      <w:r>
        <w:rPr>
          <w:rFonts w:hint="eastAsia" w:ascii="仿宋" w:hAnsi="仿宋" w:eastAsia="仿宋" w:cs="宋体"/>
          <w:sz w:val="28"/>
          <w:szCs w:val="28"/>
        </w:rPr>
        <w:t>重庆市铜梁区人民医院研究决定，我院按政府采购相关规定对“</w:t>
      </w:r>
      <w:r>
        <w:rPr>
          <w:rFonts w:hint="eastAsia" w:ascii="仿宋" w:hAnsi="仿宋" w:cs="宋体"/>
          <w:sz w:val="28"/>
          <w:szCs w:val="28"/>
          <w:lang w:eastAsia="zh-CN"/>
        </w:rPr>
        <w:t>眼科手术器械</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4"/>
        <w:bidi w:val="0"/>
        <w:outlineLvl w:val="0"/>
      </w:pPr>
      <w:bookmarkStart w:id="16" w:name="_Toc11662"/>
      <w:r>
        <w:rPr>
          <w:rFonts w:hint="eastAsia"/>
        </w:rPr>
        <w:t>一、项目采购清单</w:t>
      </w:r>
      <w:bookmarkEnd w:id="16"/>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spacing w:val="-10"/>
          <w:sz w:val="28"/>
          <w:szCs w:val="28"/>
        </w:rPr>
        <w:t>（一）项目名称</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眼科手术器械</w:t>
      </w:r>
    </w:p>
    <w:p>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TYC（询）2024-014</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6.23</w:t>
      </w:r>
      <w:r>
        <w:rPr>
          <w:rFonts w:hint="eastAsia" w:ascii="仿宋" w:hAnsi="仿宋" w:cs="宋体"/>
          <w:color w:val="auto"/>
          <w:spacing w:val="-10"/>
          <w:sz w:val="28"/>
          <w:szCs w:val="28"/>
          <w:lang w:val="en-US" w:eastAsia="zh-CN"/>
        </w:rPr>
        <w:t>万元</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pPr>
        <w:pStyle w:val="4"/>
        <w:bidi w:val="0"/>
        <w:outlineLvl w:val="0"/>
        <w:rPr>
          <w:color w:val="auto"/>
        </w:rPr>
      </w:pPr>
      <w:bookmarkStart w:id="17" w:name="_Toc21732"/>
      <w:r>
        <w:rPr>
          <w:rFonts w:hint="eastAsia"/>
          <w:color w:val="auto"/>
        </w:rPr>
        <w:t>二、投标人资质</w:t>
      </w:r>
      <w:bookmarkEnd w:id="17"/>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bCs/>
          <w:color w:val="auto"/>
          <w:spacing w:val="-10"/>
          <w:sz w:val="28"/>
          <w:szCs w:val="28"/>
        </w:rPr>
        <w:t>（一）</w:t>
      </w:r>
      <w:bookmarkStart w:id="18" w:name="_Toc219178018"/>
      <w:bookmarkStart w:id="19" w:name="_Toc184635056"/>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r>
        <w:rPr>
          <w:rFonts w:hint="eastAsia" w:ascii="仿宋" w:hAnsi="仿宋" w:cs="宋体"/>
          <w:spacing w:val="-10"/>
          <w:sz w:val="28"/>
          <w:szCs w:val="28"/>
          <w:lang w:eastAsia="zh-CN"/>
        </w:rPr>
        <w:t>；</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cs="宋体"/>
          <w:spacing w:val="-10"/>
          <w:sz w:val="28"/>
          <w:szCs w:val="28"/>
          <w:lang w:eastAsia="zh-CN"/>
        </w:rPr>
        <w:t>（四）</w:t>
      </w: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adjustRightInd w:val="0"/>
        <w:snapToGrid w:val="0"/>
        <w:spacing w:line="440" w:lineRule="exact"/>
        <w:ind w:firstLine="522" w:firstLineChars="200"/>
        <w:outlineLvl w:val="1"/>
        <w:rPr>
          <w:rFonts w:ascii="仿宋" w:hAnsi="仿宋" w:eastAsia="仿宋" w:cs="宋体"/>
          <w:b/>
          <w:bCs/>
          <w:spacing w:val="-10"/>
          <w:sz w:val="28"/>
          <w:szCs w:val="28"/>
        </w:rPr>
      </w:pPr>
      <w:r>
        <w:rPr>
          <w:rFonts w:hint="eastAsia" w:ascii="仿宋" w:hAnsi="仿宋" w:eastAsia="仿宋" w:cs="宋体"/>
          <w:b/>
          <w:bCs/>
          <w:spacing w:val="-10"/>
          <w:sz w:val="28"/>
          <w:szCs w:val="28"/>
        </w:rPr>
        <w:t xml:space="preserve">       </w:t>
      </w:r>
      <w:bookmarkStart w:id="20" w:name="_Toc16196"/>
      <w:bookmarkStart w:id="21" w:name="_Toc24648"/>
      <w:bookmarkStart w:id="22" w:name="_Toc24342"/>
      <w:r>
        <w:rPr>
          <w:rFonts w:hint="eastAsia" w:ascii="仿宋" w:hAnsi="仿宋" w:eastAsia="仿宋" w:cs="宋体"/>
          <w:b/>
          <w:bCs/>
          <w:spacing w:val="-10"/>
          <w:sz w:val="28"/>
          <w:szCs w:val="28"/>
        </w:rPr>
        <w:t>2.本次投标不接受联合体投标。</w:t>
      </w:r>
      <w:bookmarkEnd w:id="20"/>
      <w:bookmarkEnd w:id="21"/>
      <w:bookmarkEnd w:id="22"/>
    </w:p>
    <w:p>
      <w:pPr>
        <w:pStyle w:val="4"/>
        <w:bidi w:val="0"/>
        <w:outlineLvl w:val="0"/>
      </w:pPr>
      <w:bookmarkStart w:id="23" w:name="_Toc10988"/>
      <w:r>
        <w:rPr>
          <w:rFonts w:hint="eastAsia"/>
        </w:rPr>
        <w:t>三、询价采购文件的获取及报名截止时间、地点</w:t>
      </w:r>
      <w:bookmarkEnd w:id="2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询价采购文件获取方式：本项目询价采购文件在重庆市铜梁区人民医院官网（www.tlxrmyy.net）上免费下载。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spacing w:val="-10"/>
          <w:sz w:val="28"/>
          <w:lang w:eastAsia="zh-CN"/>
        </w:rPr>
      </w:pPr>
      <w:r>
        <w:rPr>
          <w:rFonts w:hint="eastAsia" w:ascii="仿宋" w:hAnsi="仿宋" w:eastAsia="仿宋" w:cs="仿宋_GB2312"/>
          <w:color w:val="000000"/>
          <w:sz w:val="28"/>
          <w:szCs w:val="28"/>
        </w:rPr>
        <w:t>报名地点：重庆市铜梁区人民医院行政楼四楼</w:t>
      </w:r>
      <w:r>
        <w:rPr>
          <w:rFonts w:hint="eastAsia" w:ascii="仿宋" w:hAnsi="仿宋" w:cs="仿宋_GB2312"/>
          <w:color w:val="000000"/>
          <w:sz w:val="28"/>
          <w:szCs w:val="28"/>
          <w:lang w:val="en-US" w:eastAsia="zh-CN"/>
        </w:rPr>
        <w:t>413</w:t>
      </w:r>
      <w:r>
        <w:rPr>
          <w:rFonts w:hint="eastAsia" w:ascii="仿宋" w:hAnsi="仿宋" w:eastAsia="仿宋" w:cs="仿宋_GB2312"/>
          <w:color w:val="000000"/>
          <w:sz w:val="28"/>
          <w:szCs w:val="28"/>
        </w:rPr>
        <w:t>采购办公室</w:t>
      </w:r>
      <w:r>
        <w:rPr>
          <w:rFonts w:hint="eastAsia" w:ascii="仿宋" w:hAnsi="仿宋" w:cs="仿宋_GB2312"/>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spacing w:val="-10"/>
          <w:sz w:val="28"/>
          <w:lang w:val="en-US" w:eastAsia="zh-CN"/>
        </w:rPr>
      </w:pPr>
      <w:r>
        <w:rPr>
          <w:rFonts w:hint="eastAsia" w:ascii="仿宋" w:hAnsi="仿宋" w:eastAsia="仿宋"/>
          <w:spacing w:val="-10"/>
          <w:sz w:val="28"/>
        </w:rPr>
        <w:t>报名时间：</w:t>
      </w:r>
      <w:r>
        <w:rPr>
          <w:rFonts w:hint="eastAsia" w:ascii="仿宋" w:hAnsi="仿宋"/>
          <w:spacing w:val="-10"/>
          <w:sz w:val="28"/>
          <w:lang w:eastAsia="zh-CN"/>
        </w:rPr>
        <w:t>即日起至</w:t>
      </w:r>
      <w:r>
        <w:rPr>
          <w:rFonts w:hint="eastAsia" w:ascii="仿宋" w:hAnsi="仿宋"/>
          <w:spacing w:val="-10"/>
          <w:sz w:val="28"/>
          <w:lang w:val="en-US" w:eastAsia="zh-CN"/>
        </w:rPr>
        <w:t>2024年4月17日11:00分（工作时间内）。</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报名所需资料：</w:t>
      </w:r>
      <w:r>
        <w:rPr>
          <w:rFonts w:hint="eastAsia" w:ascii="仿宋" w:hAnsi="仿宋" w:eastAsia="仿宋" w:cs="仿宋_GB2312"/>
          <w:color w:val="000000"/>
          <w:sz w:val="28"/>
          <w:szCs w:val="28"/>
          <w:lang w:eastAsia="zh-CN"/>
        </w:rPr>
        <w:t>报名表及报名表内所需资料</w:t>
      </w:r>
      <w:r>
        <w:rPr>
          <w:rFonts w:hint="eastAsia" w:ascii="仿宋" w:hAnsi="仿宋" w:eastAsia="仿宋" w:cs="仿宋_GB2312"/>
          <w:color w:val="000000"/>
          <w:sz w:val="28"/>
          <w:szCs w:val="28"/>
        </w:rPr>
        <w:t>。</w:t>
      </w:r>
    </w:p>
    <w:p>
      <w:pPr>
        <w:adjustRightInd w:val="0"/>
        <w:snapToGrid w:val="0"/>
        <w:spacing w:line="440" w:lineRule="exact"/>
        <w:outlineLvl w:val="0"/>
        <w:rPr>
          <w:rFonts w:hint="eastAsia" w:eastAsia="仿宋" w:asciiTheme="majorAscii" w:hAnsiTheme="majorAscii" w:cstheme="majorBidi"/>
          <w:b/>
          <w:bCs/>
          <w:kern w:val="2"/>
          <w:sz w:val="28"/>
          <w:szCs w:val="32"/>
          <w:lang w:val="en-US" w:eastAsia="zh-CN" w:bidi="ar-SA"/>
        </w:rPr>
      </w:pPr>
      <w:bookmarkStart w:id="24" w:name="_Toc17354"/>
      <w:r>
        <w:rPr>
          <w:rFonts w:hint="eastAsia" w:eastAsia="仿宋" w:asciiTheme="majorAscii" w:hAnsiTheme="majorAscii" w:cstheme="majorBidi"/>
          <w:b/>
          <w:bCs/>
          <w:kern w:val="2"/>
          <w:sz w:val="28"/>
          <w:szCs w:val="32"/>
          <w:lang w:val="en-US" w:eastAsia="zh-CN" w:bidi="ar-SA"/>
        </w:rPr>
        <w:t>四、递交投标文件及开标时间、地点</w:t>
      </w:r>
      <w:bookmarkEnd w:id="24"/>
      <w:r>
        <w:rPr>
          <w:rFonts w:hint="eastAsia" w:eastAsia="仿宋" w:asciiTheme="majorAscii" w:hAnsiTheme="majorAscii" w:cstheme="majorBidi"/>
          <w:b/>
          <w:bCs/>
          <w:kern w:val="2"/>
          <w:sz w:val="28"/>
          <w:szCs w:val="32"/>
          <w:lang w:val="en-US" w:eastAsia="zh-CN" w:bidi="ar-SA"/>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4</w:t>
      </w:r>
      <w:r>
        <w:rPr>
          <w:rFonts w:hint="eastAsia" w:ascii="仿宋" w:hAnsi="仿宋" w:eastAsia="仿宋" w:cs="宋体"/>
          <w:sz w:val="28"/>
          <w:szCs w:val="28"/>
        </w:rPr>
        <w:t>月</w:t>
      </w:r>
      <w:bookmarkStart w:id="267" w:name="_GoBack"/>
      <w:bookmarkEnd w:id="267"/>
      <w:r>
        <w:rPr>
          <w:rFonts w:hint="eastAsia" w:ascii="仿宋" w:hAnsi="仿宋" w:cs="宋体"/>
          <w:sz w:val="28"/>
          <w:szCs w:val="28"/>
          <w:lang w:val="en-US" w:eastAsia="zh-CN"/>
        </w:rPr>
        <w:t xml:space="preserve"> 17</w:t>
      </w:r>
      <w:r>
        <w:rPr>
          <w:rFonts w:hint="eastAsia" w:ascii="仿宋" w:hAnsi="仿宋" w:eastAsia="仿宋" w:cs="宋体"/>
          <w:sz w:val="28"/>
          <w:szCs w:val="28"/>
        </w:rPr>
        <w:t>日</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4</w:t>
      </w:r>
      <w:r>
        <w:rPr>
          <w:rFonts w:hint="eastAsia" w:ascii="仿宋" w:hAnsi="仿宋" w:eastAsia="仿宋" w:cs="宋体"/>
          <w:sz w:val="28"/>
          <w:szCs w:val="28"/>
        </w:rPr>
        <w:t>月</w:t>
      </w:r>
      <w:r>
        <w:rPr>
          <w:rFonts w:hint="eastAsia" w:ascii="仿宋" w:hAnsi="仿宋" w:cs="宋体"/>
          <w:sz w:val="28"/>
          <w:szCs w:val="28"/>
          <w:lang w:val="en-US" w:eastAsia="zh-CN"/>
        </w:rPr>
        <w:t>17</w:t>
      </w:r>
      <w:r>
        <w:rPr>
          <w:rFonts w:hint="eastAsia" w:ascii="仿宋" w:hAnsi="仿宋" w:eastAsia="仿宋" w:cs="宋体"/>
          <w:sz w:val="28"/>
          <w:szCs w:val="28"/>
        </w:rPr>
        <w:t>日</w:t>
      </w:r>
      <w:r>
        <w:rPr>
          <w:rFonts w:hint="eastAsia" w:ascii="仿宋" w:hAnsi="仿宋" w:cs="宋体"/>
          <w:sz w:val="28"/>
          <w:szCs w:val="28"/>
          <w:lang w:val="en-US" w:eastAsia="zh-CN"/>
        </w:rPr>
        <w:t>15:3</w:t>
      </w:r>
      <w:r>
        <w:rPr>
          <w:rFonts w:hint="eastAsia" w:ascii="仿宋" w:hAnsi="仿宋" w:eastAsia="仿宋" w:cs="宋体"/>
          <w:sz w:val="28"/>
          <w:szCs w:val="28"/>
        </w:rPr>
        <w:t>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4"/>
        <w:bidi w:val="0"/>
        <w:outlineLvl w:val="0"/>
      </w:pPr>
      <w:bookmarkStart w:id="25" w:name="_Toc4387"/>
      <w:r>
        <w:rPr>
          <w:rFonts w:hint="eastAsia"/>
        </w:rPr>
        <w:t>五、项目联系人及电话</w:t>
      </w:r>
      <w:bookmarkEnd w:id="25"/>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4"/>
        <w:bidi w:val="0"/>
        <w:outlineLvl w:val="0"/>
      </w:pPr>
      <w:bookmarkStart w:id="26" w:name="_Toc7917"/>
      <w:r>
        <w:rPr>
          <w:rFonts w:hint="eastAsia"/>
        </w:rPr>
        <w:t>六、监督管理</w:t>
      </w:r>
      <w:bookmarkEnd w:id="26"/>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w:t>
      </w:r>
      <w:r>
        <w:rPr>
          <w:rFonts w:hint="eastAsia" w:ascii="仿宋" w:hAnsi="仿宋" w:cs="宋体"/>
          <w:spacing w:val="-10"/>
          <w:sz w:val="28"/>
          <w:szCs w:val="28"/>
          <w:lang w:eastAsia="zh-CN"/>
        </w:rPr>
        <w:t>纪委或</w:t>
      </w:r>
      <w:r>
        <w:rPr>
          <w:rFonts w:hint="eastAsia" w:ascii="仿宋" w:hAnsi="仿宋" w:eastAsia="仿宋" w:cs="宋体"/>
          <w:spacing w:val="-10"/>
          <w:sz w:val="28"/>
          <w:szCs w:val="28"/>
        </w:rPr>
        <w:t>审计负责全程参与，接受社会监督。</w:t>
      </w:r>
    </w:p>
    <w:p>
      <w:pPr>
        <w:pStyle w:val="4"/>
        <w:bidi w:val="0"/>
        <w:outlineLvl w:val="0"/>
      </w:pPr>
      <w:bookmarkStart w:id="27" w:name="_Toc6913"/>
      <w:r>
        <w:rPr>
          <w:rFonts w:hint="eastAsia"/>
        </w:rPr>
        <w:t>七、解释权</w:t>
      </w:r>
      <w:bookmarkEnd w:id="27"/>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18"/>
    <w:bookmarkEnd w:id="19"/>
    <w:p>
      <w:pPr>
        <w:pStyle w:val="3"/>
        <w:outlineLvl w:val="1"/>
      </w:pPr>
      <w:bookmarkStart w:id="28" w:name="_Toc24994"/>
      <w:bookmarkStart w:id="29" w:name="_Toc15290408"/>
      <w:r>
        <w:rPr>
          <w:rFonts w:hint="eastAsia"/>
        </w:rPr>
        <w:t>第二篇 采购项目技术及商务要求</w:t>
      </w:r>
      <w:bookmarkEnd w:id="28"/>
      <w:bookmarkEnd w:id="29"/>
    </w:p>
    <w:p>
      <w:pPr>
        <w:pStyle w:val="4"/>
        <w:bidi w:val="0"/>
        <w:outlineLvl w:val="0"/>
      </w:pPr>
      <w:bookmarkStart w:id="30" w:name="_Toc7064"/>
      <w:r>
        <w:rPr>
          <w:rFonts w:hint="eastAsia"/>
        </w:rPr>
        <w:t>一、采购项目基本情况及限价</w:t>
      </w:r>
      <w:bookmarkEnd w:id="30"/>
    </w:p>
    <w:tbl>
      <w:tblPr>
        <w:tblStyle w:val="17"/>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246"/>
        <w:gridCol w:w="1771"/>
        <w:gridCol w:w="210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6"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eastAsia="仿宋" w:cs="宋体"/>
                <w:spacing w:val="-2"/>
                <w:sz w:val="28"/>
                <w:szCs w:val="28"/>
              </w:rPr>
              <w:t>项 目 名 称</w:t>
            </w:r>
          </w:p>
        </w:tc>
        <w:tc>
          <w:tcPr>
            <w:tcW w:w="1246"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数量</w:t>
            </w:r>
          </w:p>
        </w:tc>
        <w:tc>
          <w:tcPr>
            <w:tcW w:w="1771"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预算单价</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（万元）</w:t>
            </w:r>
          </w:p>
        </w:tc>
        <w:tc>
          <w:tcPr>
            <w:tcW w:w="2105"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预算总金额</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（万元）</w:t>
            </w:r>
          </w:p>
        </w:tc>
        <w:tc>
          <w:tcPr>
            <w:tcW w:w="1498"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716"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cs="宋体"/>
                <w:spacing w:val="-2"/>
                <w:sz w:val="28"/>
                <w:szCs w:val="28"/>
                <w:lang w:val="en-US" w:eastAsia="zh-CN"/>
              </w:rPr>
              <w:t>眼科手术器械</w:t>
            </w:r>
          </w:p>
        </w:tc>
        <w:tc>
          <w:tcPr>
            <w:tcW w:w="1246" w:type="dxa"/>
            <w:vAlign w:val="center"/>
          </w:tcPr>
          <w:p>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1批</w:t>
            </w:r>
          </w:p>
        </w:tc>
        <w:tc>
          <w:tcPr>
            <w:tcW w:w="1771"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6.23</w:t>
            </w:r>
          </w:p>
        </w:tc>
        <w:tc>
          <w:tcPr>
            <w:tcW w:w="2105"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6.23</w:t>
            </w:r>
          </w:p>
        </w:tc>
        <w:tc>
          <w:tcPr>
            <w:tcW w:w="1498" w:type="dxa"/>
            <w:vAlign w:val="center"/>
          </w:tcPr>
          <w:p>
            <w:pPr>
              <w:widowControl/>
              <w:ind w:firstLine="240" w:firstLineChars="100"/>
              <w:jc w:val="both"/>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麻醉科</w:t>
            </w:r>
          </w:p>
        </w:tc>
      </w:tr>
    </w:tbl>
    <w:p>
      <w:pPr>
        <w:pStyle w:val="4"/>
        <w:bidi w:val="0"/>
        <w:outlineLvl w:val="0"/>
        <w:rPr>
          <w:rFonts w:hint="eastAsia" w:eastAsia="仿宋"/>
          <w:color w:val="auto"/>
          <w:lang w:eastAsia="zh-CN"/>
        </w:rPr>
      </w:pPr>
      <w:bookmarkStart w:id="31" w:name="_Toc18648"/>
      <w:r>
        <w:rPr>
          <w:rFonts w:hint="eastAsia"/>
          <w:color w:val="auto"/>
        </w:rPr>
        <w:t>二、技术要求</w:t>
      </w:r>
      <w:r>
        <w:rPr>
          <w:rFonts w:hint="eastAsia"/>
          <w:color w:val="auto"/>
          <w:lang w:eastAsia="zh-CN"/>
        </w:rPr>
        <w:t>及</w:t>
      </w:r>
      <w:bookmarkEnd w:id="31"/>
      <w:r>
        <w:rPr>
          <w:rFonts w:hint="eastAsia"/>
          <w:color w:val="auto"/>
          <w:lang w:eastAsia="zh-CN"/>
        </w:rPr>
        <w:t>明细</w:t>
      </w:r>
    </w:p>
    <w:p>
      <w:pPr>
        <w:keepNext w:val="0"/>
        <w:keepLines w:val="0"/>
        <w:pageBreakBefore w:val="0"/>
        <w:widowControl w:val="0"/>
        <w:kinsoku/>
        <w:wordWrap/>
        <w:overflowPunct/>
        <w:topLinePunct w:val="0"/>
        <w:autoSpaceDE/>
        <w:autoSpaceDN/>
        <w:bidi w:val="0"/>
        <w:adjustRightInd/>
        <w:snapToGrid/>
        <w:spacing w:after="313" w:afterLines="100"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眼科手术器械</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628"/>
        <w:gridCol w:w="1092"/>
        <w:gridCol w:w="1028"/>
        <w:gridCol w:w="1288"/>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序号</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设备名称</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数量及单位</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单价（元）</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总价（元）</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系线镊</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672</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2688</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105×5直平台，超细，头宽0.2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i w:val="0"/>
                <w:color w:val="000000"/>
                <w:kern w:val="0"/>
                <w:sz w:val="28"/>
                <w:szCs w:val="28"/>
                <w:u w:val="none"/>
                <w:lang w:val="en-US" w:eastAsia="zh-CN" w:bidi="ar"/>
              </w:rPr>
              <w:t>采用钛合金材料制成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3.外表面氧化处理，粗糙度Ra≦0.4μm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缝线结扎镊</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719</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5752</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115×6×0.10，直，1×2齿，扁柄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i w:val="0"/>
                <w:color w:val="000000"/>
                <w:kern w:val="0"/>
                <w:sz w:val="28"/>
                <w:szCs w:val="28"/>
                <w:u w:val="none"/>
                <w:lang w:val="en-US" w:eastAsia="zh-CN" w:bidi="ar"/>
              </w:rPr>
              <w:t>采用钛合金材料制成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3.外表面氧化处理，粗糙度Ra≦0.4μm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显微眼用镊</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340</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2720</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85×0.25，直，带台，半圆槽，标准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2.采用医用不锈钢材料制成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3.外表面刷光处理，粗糙度Ra≦0.4µm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微切口撕囊镊</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850</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6800</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105×13×45°，角弯，直头，2.2微切口，圆柄，滚花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2.采用医用不锈钢材料制成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3.外表面刷光处理，粗糙度Ra≦0.4µm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睑板腺囊肿镊</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119</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119</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98，椭圆形，内圈17×9，中号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2.采用医用不锈钢材料制成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3.外表面刷光处理，粗糙度Ra≦0.4µm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眼用显微持针钳</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983</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7864</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140×11，弯钝头，不带锁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2.用于显微手术时钳取组织或者器械等</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3.外形平整对称，无锋棱毛刺、裂纹、砂眼等</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4.钛合金材料制成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5.外表面氧化处理，粗糙度Ra≦0.4μm</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6.产品具备耐腐蚀性能：按YY/T 0149-2006《不锈钢医用器械耐腐蚀性能试验方法》规定的“5 沸水试验法”进行试验时，外表面应达到“b级”或更优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7</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结膜剪</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578</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2312</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115×10.5，弧形，钝头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2.以20Cr13或GB/T4237标准中规定的材料制成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3.外表面刷光处理，粗糙度Ra≦0.4μm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角膜剪</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838</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6704</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b w:val="0"/>
                <w:bCs/>
                <w:sz w:val="28"/>
                <w:szCs w:val="28"/>
                <w:vertAlign w:val="baseline"/>
                <w:lang w:val="en-US" w:eastAsia="zh-CN"/>
              </w:rPr>
              <w:t>1.</w:t>
            </w:r>
            <w:r>
              <w:rPr>
                <w:rFonts w:hint="eastAsia" w:ascii="仿宋" w:hAnsi="仿宋" w:eastAsia="仿宋" w:cs="仿宋"/>
                <w:sz w:val="28"/>
                <w:szCs w:val="28"/>
              </w:rPr>
              <w:t>112×11，弯，钝头，圆柄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2.钛合金材料制成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3.外表面氧化处理，粗糙度Ra不大于0.4μm。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9</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晶体定位钩</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507</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4056</w:t>
            </w:r>
          </w:p>
        </w:tc>
        <w:tc>
          <w:tcPr>
            <w:tcW w:w="394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120×0.15，角形，直，T形头</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2.用于眼科手术时钩线和牵拉眼部组织</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3.外形平整对称，无锋棱毛刺、裂纹、砂眼等</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4.应以钛合金材料制成,硬度≧30HRC</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5.产品具备耐腐蚀性能：按YY/T 0149–2006《不锈钢医用器械耐腐蚀性能试验方法》规定的“5 沸水试验法”进行试验时，外表面应达到“b级”或更优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显微眼用钩具</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867</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6936</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1.总长130mm，角弯60°，双头，桨形/勾形</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2.钛合金材料制成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3.外表面氧化处理，粗糙度Ra≦0.4μm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11</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开睑器</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13把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867</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11271</w:t>
            </w:r>
          </w:p>
        </w:tc>
        <w:tc>
          <w:tcPr>
            <w:tcW w:w="3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1.丝状，旋转可调节开口，开口50mm，槽宽14mm</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2.钛合金材料制成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3.外表面氧化处理，粗糙度Ra≦0.4μm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12</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眼用测量规</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534</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534</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1.总长87mm，测量范围0-20mm</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2.在眼科手术中用于测距</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3.外形平整对称，无锋棱毛刺、裂纹、砂眼等</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4.以20Cr13、17-4PH或GB/T4237标准中规定的材料制成，产品应经热处理，热处理硬度为40-48HRC。</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5.外表面刷光处理，粗糙度Ra≦0.4µm</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6.产品应有良好的耐腐蚀性能：按YY/T 0149–2006《不锈钢医用器械耐腐蚀性能试验方法》规定的“5 沸水试验法”进行试验时，外表面应达到“b级”或更优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13</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标记环</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935</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935</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1.总长130mm，角膜，ICL专用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2.以20Cr13或GB/T4237标准中规定的材料制成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3.外表面刷光处理，粗糙度Ra≦0.4μm。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14</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乳突咬骨钳</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1785</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1785</w:t>
            </w:r>
          </w:p>
        </w:tc>
        <w:tc>
          <w:tcPr>
            <w:tcW w:w="394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总长90mm,头宽2.3mm，厚度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4.6mm，枪状带手柄，手柄宽度95mm,高度120mm，扁柄</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2.用于咬切组织</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3.外形平整对称，无锋棱毛刺、裂纹、砂眼等</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4.以GB/T4237标准中规定的材料制成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5.外表面刷光处理，粗糙度Ra≦0.4µm。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15</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注吸器</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85</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85</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1.并管式，头部直径0.6mm，孔径0.25mm</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2.以20Cr13或GB/T4237标准中规定的材料制成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3.外表面刷光处理，粗糙度Ra≦0.4μm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16</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晶体线环</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136</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136</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1.冲洗式，鸡心形，弯形</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2.以20Cr13或GB/T4237标准中规定的材料制成</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3.外表面刷光处理，粗糙度Ra≦0.4μm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17</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rPr>
              <w:t>眼用剪</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12把</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141</w:t>
            </w:r>
          </w:p>
        </w:tc>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1692</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1.总长100mm，弯尖</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2.采用40Cr13材料制成，产品经热处理，硬度48-58HRC</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3.外表面刷光处理，粗糙度Ra≦0.4µm</w:t>
            </w:r>
          </w:p>
        </w:tc>
      </w:tr>
    </w:tbl>
    <w:p>
      <w:pPr>
        <w:pageBreakBefore w:val="0"/>
        <w:widowControl w:val="0"/>
        <w:kinsoku/>
        <w:wordWrap/>
        <w:overflowPunct/>
        <w:topLinePunct w:val="0"/>
        <w:autoSpaceDE/>
        <w:autoSpaceDN/>
        <w:bidi w:val="0"/>
        <w:snapToGrid w:val="0"/>
        <w:spacing w:line="440" w:lineRule="exact"/>
        <w:rPr>
          <w:rFonts w:hint="eastAsia" w:ascii="仿宋" w:hAnsi="仿宋" w:eastAsia="仿宋" w:cs="仿宋"/>
          <w:kern w:val="2"/>
          <w:sz w:val="28"/>
          <w:szCs w:val="28"/>
          <w:lang w:val="en-US" w:eastAsia="zh-CN" w:bidi="ar-SA"/>
        </w:rPr>
      </w:pPr>
    </w:p>
    <w:p>
      <w:pPr>
        <w:pStyle w:val="4"/>
        <w:pageBreakBefore w:val="0"/>
        <w:widowControl w:val="0"/>
        <w:kinsoku/>
        <w:wordWrap/>
        <w:overflowPunct/>
        <w:topLinePunct w:val="0"/>
        <w:autoSpaceDE/>
        <w:autoSpaceDN/>
        <w:bidi w:val="0"/>
        <w:spacing w:line="440" w:lineRule="exact"/>
        <w:outlineLvl w:val="0"/>
        <w:rPr>
          <w:rFonts w:hint="eastAsia"/>
        </w:rPr>
      </w:pPr>
      <w:bookmarkStart w:id="32" w:name="_Toc11282"/>
      <w:r>
        <w:rPr>
          <w:rFonts w:hint="eastAsia"/>
        </w:rPr>
        <w:t>三、商务要求</w:t>
      </w:r>
      <w:bookmarkEnd w:id="32"/>
    </w:p>
    <w:p>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19839"/>
      <w:bookmarkStart w:id="34" w:name="_Toc8090"/>
      <w:r>
        <w:rPr>
          <w:rFonts w:hint="eastAsia" w:ascii="仿宋" w:hAnsi="仿宋" w:eastAsia="仿宋" w:cs="宋体"/>
          <w:b/>
          <w:sz w:val="28"/>
          <w:szCs w:val="28"/>
        </w:rPr>
        <w:t>（</w:t>
      </w:r>
      <w:r>
        <w:rPr>
          <w:rFonts w:hint="eastAsia" w:ascii="仿宋" w:hAnsi="仿宋" w:cs="宋体"/>
          <w:b/>
          <w:sz w:val="28"/>
          <w:szCs w:val="28"/>
          <w:lang w:eastAsia="zh-CN"/>
        </w:rPr>
        <w:t>一</w:t>
      </w:r>
      <w:r>
        <w:rPr>
          <w:rFonts w:hint="eastAsia" w:ascii="仿宋" w:hAnsi="仿宋" w:eastAsia="仿宋" w:cs="宋体"/>
          <w:b/>
          <w:sz w:val="28"/>
          <w:szCs w:val="28"/>
        </w:rPr>
        <w:t>）供货方</w:t>
      </w:r>
      <w:r>
        <w:rPr>
          <w:rFonts w:hint="eastAsia" w:ascii="仿宋" w:hAnsi="仿宋" w:eastAsia="仿宋" w:cs="宋体"/>
          <w:b/>
          <w:color w:val="auto"/>
          <w:sz w:val="28"/>
          <w:szCs w:val="28"/>
        </w:rPr>
        <w:t>式、时间、地点</w:t>
      </w:r>
      <w:bookmarkEnd w:id="33"/>
      <w:bookmarkEnd w:id="34"/>
    </w:p>
    <w:p>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1、合同签订后</w:t>
      </w:r>
      <w:r>
        <w:rPr>
          <w:rFonts w:hint="eastAsia" w:ascii="仿宋" w:hAnsi="仿宋" w:cs="宋体"/>
          <w:color w:val="auto"/>
          <w:sz w:val="28"/>
          <w:szCs w:val="28"/>
          <w:highlight w:val="none"/>
          <w:lang w:val="en-US" w:eastAsia="zh-CN"/>
        </w:rPr>
        <w:t>30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pPr>
        <w:adjustRightInd w:val="0"/>
        <w:snapToGrid w:val="0"/>
        <w:spacing w:line="440" w:lineRule="exact"/>
        <w:outlineLvl w:val="1"/>
        <w:rPr>
          <w:rFonts w:ascii="仿宋" w:hAnsi="仿宋" w:eastAsia="仿宋" w:cs="宋体"/>
          <w:b/>
          <w:color w:val="auto"/>
          <w:sz w:val="28"/>
          <w:szCs w:val="28"/>
        </w:rPr>
      </w:pPr>
      <w:bookmarkStart w:id="35" w:name="_Toc7994"/>
      <w:bookmarkStart w:id="36" w:name="_Toc10583"/>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1、产品质量保证期</w:t>
      </w:r>
    </w:p>
    <w:p>
      <w:pPr>
        <w:snapToGrid w:val="0"/>
        <w:spacing w:line="440" w:lineRule="exac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（1）从安装验收合格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年。</w:t>
      </w:r>
    </w:p>
    <w:p>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（2）产品自身质量问题的产品或零配件进行免费维修、更换。</w:t>
      </w:r>
    </w:p>
    <w:p>
      <w:pPr>
        <w:snapToGrid w:val="0"/>
        <w:spacing w:line="440" w:lineRule="exac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lang w:val="en-US" w:eastAsia="zh-CN"/>
        </w:rPr>
        <w:t>3</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rPr>
        <w:t>质保期满后，成交人必须提供系统升级维护，维保费用每年不得超过成交价</w:t>
      </w:r>
      <w:r>
        <w:rPr>
          <w:rFonts w:hint="eastAsia" w:ascii="仿宋" w:hAnsi="仿宋" w:cs="宋体"/>
          <w:color w:val="auto"/>
          <w:kern w:val="0"/>
          <w:sz w:val="28"/>
          <w:szCs w:val="28"/>
          <w:lang w:eastAsia="zh-CN"/>
        </w:rPr>
        <w:t>的</w:t>
      </w:r>
      <w:r>
        <w:rPr>
          <w:rFonts w:hint="eastAsia" w:ascii="仿宋" w:hAnsi="仿宋" w:eastAsia="仿宋" w:cs="宋体"/>
          <w:color w:val="auto"/>
          <w:kern w:val="0"/>
          <w:sz w:val="28"/>
          <w:szCs w:val="28"/>
        </w:rPr>
        <w:t>1</w:t>
      </w:r>
      <w:r>
        <w:rPr>
          <w:rFonts w:hint="eastAsia" w:ascii="仿宋" w:hAnsi="仿宋" w:eastAsia="仿宋" w:cs="宋体"/>
          <w:color w:val="auto"/>
          <w:kern w:val="0"/>
          <w:sz w:val="28"/>
          <w:szCs w:val="28"/>
          <w:lang w:val="en-US" w:eastAsia="zh-CN"/>
        </w:rPr>
        <w:t>0</w:t>
      </w:r>
      <w:r>
        <w:rPr>
          <w:rFonts w:hint="eastAsia" w:ascii="仿宋" w:hAnsi="仿宋" w:eastAsia="仿宋" w:cs="宋体"/>
          <w:color w:val="auto"/>
          <w:kern w:val="0"/>
          <w:sz w:val="28"/>
          <w:szCs w:val="28"/>
        </w:rPr>
        <w:t>%。</w:t>
      </w:r>
    </w:p>
    <w:p>
      <w:pPr>
        <w:snapToGrid w:val="0"/>
        <w:spacing w:line="440" w:lineRule="exact"/>
        <w:ind w:firstLine="140" w:firstLineChars="50"/>
        <w:rPr>
          <w:rFonts w:ascii="仿宋" w:hAnsi="仿宋" w:eastAsia="仿宋" w:cs="宋体"/>
          <w:kern w:val="0"/>
          <w:sz w:val="28"/>
          <w:szCs w:val="28"/>
        </w:rPr>
      </w:pPr>
      <w:r>
        <w:rPr>
          <w:rFonts w:hint="eastAsia" w:ascii="仿宋" w:hAnsi="仿宋" w:eastAsia="仿宋" w:cs="宋体"/>
          <w:kern w:val="0"/>
          <w:sz w:val="28"/>
          <w:szCs w:val="28"/>
        </w:rPr>
        <w:t>2、售后服务内容</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供应商和厂家在质量保证期内应当为采购人提供以下技术支持服务：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（1）质量保证期内服务要求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①电话咨询</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中标人和厂家应当为采购人提供技术援助电话，解答采购人在使用中遇到的问题，及时为采购人提出解决问题的建议。</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②现场响应</w:t>
      </w:r>
    </w:p>
    <w:p>
      <w:pPr>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③技术升级</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在质保期内，如果供应商和厂家的产品技术升级，供应商应及时通知采购人，如采购人有相应要求，供应商和厂家应对采购人进行免费升级服务。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（2）质保期外服务要求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①质量保证期过后，供应商和厂家应同样提供免费电话咨询服务，并应承诺提供产品上门维护服务。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②质量保证期过后，采购人需要继续由原供应商和厂家提供售后服务的，该供应商和厂家应以优惠价格提供售后服务。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（3）故障响应时间要求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投标人接到使用方产品出现问题的通知后立即作出响应，24小内到达现场进行处理。</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（4）维修及零配件供应</w:t>
      </w:r>
    </w:p>
    <w:p>
      <w:pPr>
        <w:adjustRightInd w:val="0"/>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投标产品在重庆市范围内能提供本地化售后服务机构（须提供相关证明文件），在维修过程中使用的维修零配件应为原厂配件，未经采购人同意不得使用非原厂配件。</w:t>
      </w:r>
    </w:p>
    <w:p>
      <w:pPr>
        <w:adjustRightInd w:val="0"/>
        <w:snapToGrid w:val="0"/>
        <w:spacing w:line="440" w:lineRule="exact"/>
        <w:outlineLvl w:val="1"/>
        <w:rPr>
          <w:rFonts w:ascii="仿宋" w:hAnsi="仿宋" w:eastAsia="仿宋" w:cs="宋体"/>
          <w:b/>
          <w:sz w:val="28"/>
          <w:szCs w:val="28"/>
        </w:rPr>
      </w:pPr>
      <w:bookmarkStart w:id="37" w:name="_Toc14098"/>
      <w:bookmarkStart w:id="38" w:name="_Toc1141"/>
      <w:r>
        <w:rPr>
          <w:rFonts w:hint="eastAsia" w:ascii="仿宋" w:hAnsi="仿宋" w:eastAsia="仿宋" w:cs="宋体"/>
          <w:b/>
          <w:sz w:val="28"/>
          <w:szCs w:val="28"/>
        </w:rPr>
        <w:t>（</w:t>
      </w:r>
      <w:r>
        <w:rPr>
          <w:rFonts w:hint="eastAsia" w:ascii="仿宋" w:hAnsi="仿宋" w:cs="宋体"/>
          <w:b/>
          <w:sz w:val="28"/>
          <w:szCs w:val="28"/>
          <w:lang w:eastAsia="zh-CN"/>
        </w:rPr>
        <w:t>三</w:t>
      </w:r>
      <w:r>
        <w:rPr>
          <w:rFonts w:hint="eastAsia" w:ascii="仿宋" w:hAnsi="仿宋" w:eastAsia="仿宋" w:cs="宋体"/>
          <w:b/>
          <w:sz w:val="28"/>
          <w:szCs w:val="28"/>
        </w:rPr>
        <w:t>）验收方式</w:t>
      </w:r>
      <w:bookmarkEnd w:id="37"/>
      <w:bookmarkEnd w:id="38"/>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1、货物到达现场后，供应商应在使用单位人员在场情况下当面开箱，共同清点、检查外观，作出开箱记录，双方签字确认。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2、供应商应保证货物到达采购人所在地完好无损，如有缺漏、损坏，由供应商负责调换、补齐或赔偿。</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3、供应商应提供完备的技术资料、装箱单和合格证等，并派遣专业技术人员进行现场安装调试。验收合格条件如下：</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（1）设备技术参数与招投标文件一致，性能指标达到规定的标准。</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（2）货物技术资料、装箱单、合格证等资料齐全并与投标时所提供的技术资料一致。</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（3）在系统试运行期间所出现的问题得到解决，并运行正常。</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（4）在规定时间内完成交货并验收，并经采购人确认。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4、软件产品在安装调试并试运行符合要求后，才作为最终验收。</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5、供应商提供的货物未达到招标文件规定要求，且对采购人造成损失的，由供应商承担一切责任，并赔偿所造成的损失。</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8、负责开通该设备与PACS连接端口的相关费用。</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9、负责设备物联网接入相关费用。</w:t>
      </w:r>
    </w:p>
    <w:p>
      <w:pPr>
        <w:adjustRightInd w:val="0"/>
        <w:snapToGrid w:val="0"/>
        <w:spacing w:line="440" w:lineRule="exact"/>
        <w:ind w:firstLine="140" w:firstLineChars="50"/>
        <w:rPr>
          <w:rFonts w:hint="default"/>
          <w:lang w:val="en-US" w:eastAsia="zh-CN"/>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pPr>
        <w:adjustRightInd w:val="0"/>
        <w:snapToGrid w:val="0"/>
        <w:spacing w:line="440" w:lineRule="exact"/>
        <w:outlineLvl w:val="1"/>
        <w:rPr>
          <w:rFonts w:ascii="仿宋" w:hAnsi="仿宋" w:eastAsia="仿宋" w:cs="宋体"/>
          <w:b/>
          <w:sz w:val="28"/>
          <w:szCs w:val="28"/>
        </w:rPr>
      </w:pPr>
      <w:bookmarkStart w:id="39" w:name="_Toc18089"/>
      <w:bookmarkStart w:id="40" w:name="_Toc17729"/>
      <w:r>
        <w:rPr>
          <w:rFonts w:hint="eastAsia" w:ascii="仿宋" w:hAnsi="仿宋" w:eastAsia="仿宋" w:cs="宋体"/>
          <w:b/>
          <w:sz w:val="28"/>
          <w:szCs w:val="28"/>
        </w:rPr>
        <w:t>（</w:t>
      </w:r>
      <w:r>
        <w:rPr>
          <w:rFonts w:hint="eastAsia" w:ascii="仿宋" w:hAnsi="仿宋" w:cs="宋体"/>
          <w:b/>
          <w:sz w:val="28"/>
          <w:szCs w:val="28"/>
          <w:lang w:eastAsia="zh-CN"/>
        </w:rPr>
        <w:t>四</w:t>
      </w:r>
      <w:r>
        <w:rPr>
          <w:rFonts w:hint="eastAsia" w:ascii="仿宋" w:hAnsi="仿宋" w:eastAsia="仿宋" w:cs="宋体"/>
          <w:b/>
          <w:sz w:val="28"/>
          <w:szCs w:val="28"/>
        </w:rPr>
        <w:t>）报价要求</w:t>
      </w:r>
      <w:bookmarkEnd w:id="39"/>
      <w:bookmarkEnd w:id="40"/>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1、投标价格：投标人投标价格不得高于采购限价，否则，该投标将被视为无效标。</w:t>
      </w:r>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2、本次报价为人民币报价，包含：货物费、运输费、检测费、上户费、人工费、售后服务、税金、利润及风险等一切费用。</w:t>
      </w:r>
    </w:p>
    <w:p>
      <w:pPr>
        <w:adjustRightInd w:val="0"/>
        <w:snapToGrid w:val="0"/>
        <w:spacing w:line="440" w:lineRule="exact"/>
        <w:outlineLvl w:val="1"/>
        <w:rPr>
          <w:rFonts w:ascii="仿宋" w:hAnsi="仿宋" w:eastAsia="仿宋" w:cs="宋体"/>
          <w:b/>
          <w:sz w:val="28"/>
          <w:szCs w:val="28"/>
        </w:rPr>
      </w:pPr>
      <w:bookmarkStart w:id="41" w:name="_Toc26322"/>
      <w:bookmarkStart w:id="42" w:name="_Toc3078"/>
      <w:r>
        <w:rPr>
          <w:rFonts w:hint="eastAsia" w:ascii="仿宋" w:hAnsi="仿宋" w:eastAsia="仿宋" w:cs="宋体"/>
          <w:b/>
          <w:sz w:val="28"/>
          <w:szCs w:val="28"/>
        </w:rPr>
        <w:t>（</w:t>
      </w:r>
      <w:r>
        <w:rPr>
          <w:rFonts w:hint="eastAsia" w:ascii="仿宋" w:hAnsi="仿宋" w:cs="宋体"/>
          <w:b/>
          <w:sz w:val="28"/>
          <w:szCs w:val="28"/>
          <w:lang w:eastAsia="zh-CN"/>
        </w:rPr>
        <w:t>五</w:t>
      </w:r>
      <w:r>
        <w:rPr>
          <w:rFonts w:hint="eastAsia" w:ascii="仿宋" w:hAnsi="仿宋" w:eastAsia="仿宋" w:cs="宋体"/>
          <w:b/>
          <w:sz w:val="28"/>
          <w:szCs w:val="28"/>
        </w:rPr>
        <w:t>）付款方式</w:t>
      </w:r>
      <w:bookmarkEnd w:id="41"/>
      <w:bookmarkEnd w:id="42"/>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sz w:val="28"/>
          <w:szCs w:val="28"/>
        </w:rPr>
        <w:t>项目安装调试完毕、验收合格</w:t>
      </w:r>
      <w:r>
        <w:rPr>
          <w:rFonts w:hint="eastAsia" w:ascii="仿宋" w:hAnsi="仿宋" w:eastAsia="仿宋" w:cs="宋体"/>
          <w:color w:val="auto"/>
          <w:sz w:val="28"/>
          <w:szCs w:val="28"/>
        </w:rPr>
        <w:t>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pPr>
        <w:adjustRightInd w:val="0"/>
        <w:snapToGrid w:val="0"/>
        <w:spacing w:line="440" w:lineRule="exact"/>
        <w:outlineLvl w:val="1"/>
        <w:rPr>
          <w:rFonts w:ascii="仿宋" w:hAnsi="仿宋" w:eastAsia="仿宋" w:cs="宋体"/>
          <w:b/>
          <w:color w:val="auto"/>
          <w:sz w:val="28"/>
          <w:szCs w:val="28"/>
        </w:rPr>
      </w:pPr>
      <w:bookmarkStart w:id="43" w:name="_Toc23741"/>
      <w:bookmarkStart w:id="44" w:name="_Toc23917"/>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1、投标人必须在投标文件中对以上条款和服务作出承诺，承诺必须达到本篇及采购文件其他条款的要求。</w:t>
      </w:r>
    </w:p>
    <w:p>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2、其他未尽事宜由供需双方在采购合同中详细约定。</w:t>
      </w:r>
    </w:p>
    <w:p>
      <w:pPr>
        <w:pStyle w:val="2"/>
        <w:rPr>
          <w:rFonts w:hint="eastAsia" w:ascii="仿宋" w:hAnsi="仿宋" w:eastAsia="仿宋" w:cs="宋体"/>
          <w:sz w:val="28"/>
          <w:szCs w:val="28"/>
        </w:rPr>
      </w:pPr>
    </w:p>
    <w:p>
      <w:pPr>
        <w:pStyle w:val="2"/>
        <w:ind w:left="0" w:leftChars="0" w:firstLine="0" w:firstLineChars="0"/>
        <w:rPr>
          <w:rFonts w:hint="eastAsia" w:ascii="仿宋" w:hAnsi="仿宋" w:eastAsia="仿宋" w:cs="宋体"/>
          <w:sz w:val="28"/>
          <w:szCs w:val="28"/>
        </w:rPr>
      </w:pPr>
    </w:p>
    <w:p>
      <w:pPr>
        <w:widowControl/>
        <w:jc w:val="left"/>
        <w:rPr>
          <w:rFonts w:ascii="仿宋" w:hAnsi="仿宋" w:eastAsia="仿宋" w:cs="宋体"/>
          <w:sz w:val="28"/>
          <w:szCs w:val="28"/>
        </w:rPr>
      </w:pPr>
      <w:r>
        <w:rPr>
          <w:rFonts w:ascii="仿宋" w:hAnsi="仿宋" w:eastAsia="仿宋" w:cs="宋体"/>
          <w:sz w:val="28"/>
          <w:szCs w:val="28"/>
        </w:rPr>
        <w:br w:type="page"/>
      </w:r>
    </w:p>
    <w:p>
      <w:pPr>
        <w:pStyle w:val="3"/>
      </w:pPr>
      <w:bookmarkStart w:id="45" w:name="_Toc19201"/>
      <w:bookmarkStart w:id="46" w:name="_Toc15290409"/>
      <w:r>
        <w:rPr>
          <w:rFonts w:hint="eastAsia"/>
        </w:rPr>
        <w:t>第三篇 评标方法、评标标准、无效投标条款和废标条款</w:t>
      </w:r>
      <w:bookmarkEnd w:id="45"/>
      <w:bookmarkEnd w:id="46"/>
    </w:p>
    <w:p>
      <w:pPr>
        <w:pStyle w:val="4"/>
        <w:bidi w:val="0"/>
        <w:outlineLvl w:val="0"/>
      </w:pPr>
      <w:bookmarkStart w:id="47" w:name="_Toc9246"/>
      <w:r>
        <w:rPr>
          <w:rFonts w:hint="eastAsia"/>
        </w:rPr>
        <w:t>一、评标方法定义</w:t>
      </w:r>
      <w:bookmarkEnd w:id="4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outlineLvl w:val="0"/>
      </w:pPr>
      <w:bookmarkStart w:id="48" w:name="_Toc7598"/>
      <w:r>
        <w:rPr>
          <w:rFonts w:hint="eastAsia"/>
        </w:rPr>
        <w:t>二、评标标准</w:t>
      </w:r>
      <w:bookmarkEnd w:id="48"/>
    </w:p>
    <w:p>
      <w:pPr>
        <w:adjustRightInd w:val="0"/>
        <w:snapToGrid w:val="0"/>
        <w:spacing w:line="440" w:lineRule="exact"/>
        <w:ind w:firstLine="562" w:firstLineChars="200"/>
        <w:outlineLvl w:val="1"/>
        <w:rPr>
          <w:rFonts w:ascii="仿宋" w:hAnsi="仿宋" w:eastAsia="仿宋" w:cs="宋体"/>
          <w:b/>
          <w:bCs/>
          <w:sz w:val="28"/>
          <w:szCs w:val="28"/>
        </w:rPr>
      </w:pPr>
      <w:bookmarkStart w:id="49" w:name="_Toc8948"/>
      <w:bookmarkStart w:id="50" w:name="_Toc25018"/>
      <w:r>
        <w:rPr>
          <w:rFonts w:hint="eastAsia" w:ascii="仿宋" w:hAnsi="仿宋" w:eastAsia="仿宋" w:cs="宋体"/>
          <w:b/>
          <w:bCs/>
          <w:sz w:val="28"/>
          <w:szCs w:val="28"/>
        </w:rPr>
        <w:t>（一）投标报价的确认</w:t>
      </w:r>
      <w:bookmarkEnd w:id="49"/>
      <w:bookmarkEnd w:id="50"/>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sz w:val="28"/>
          <w:szCs w:val="28"/>
        </w:rPr>
      </w:pPr>
      <w:bookmarkStart w:id="51" w:name="_Toc31534"/>
      <w:bookmarkStart w:id="52" w:name="_Toc29770"/>
      <w:r>
        <w:rPr>
          <w:rFonts w:hint="eastAsia" w:ascii="仿宋" w:hAnsi="仿宋" w:eastAsia="仿宋" w:cs="宋体"/>
          <w:b/>
          <w:bCs/>
          <w:sz w:val="28"/>
          <w:szCs w:val="28"/>
        </w:rPr>
        <w:t>（二）评标办法</w:t>
      </w:r>
      <w:bookmarkEnd w:id="51"/>
      <w:bookmarkEnd w:id="5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4"/>
        <w:bidi w:val="0"/>
        <w:outlineLvl w:val="0"/>
      </w:pPr>
      <w:bookmarkStart w:id="53" w:name="_Toc16526"/>
      <w:r>
        <w:rPr>
          <w:rFonts w:hint="eastAsia"/>
        </w:rPr>
        <w:t>三、无效投标条款</w:t>
      </w:r>
      <w:bookmarkEnd w:id="5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4"/>
        <w:bidi w:val="0"/>
        <w:outlineLvl w:val="0"/>
      </w:pPr>
      <w:bookmarkStart w:id="54" w:name="_Toc13240"/>
      <w:r>
        <w:rPr>
          <w:rFonts w:hint="eastAsia"/>
        </w:rPr>
        <w:t>四、废标条款</w:t>
      </w:r>
      <w:bookmarkEnd w:id="54"/>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spacing w:val="-10"/>
          <w:sz w:val="28"/>
          <w:szCs w:val="28"/>
        </w:rPr>
        <w:t>（一）符合专业条件或对采购文件作实质响应的投标人不足三家</w:t>
      </w:r>
      <w:r>
        <w:rPr>
          <w:rFonts w:hint="eastAsia" w:ascii="仿宋" w:hAnsi="仿宋" w:eastAsia="仿宋" w:cs="宋体"/>
          <w:b w:val="0"/>
          <w:bCs w:val="0"/>
          <w:spacing w:val="-10"/>
          <w:sz w:val="28"/>
          <w:szCs w:val="28"/>
        </w:rPr>
        <w:t>的</w:t>
      </w:r>
      <w:r>
        <w:rPr>
          <w:rFonts w:hint="eastAsia" w:ascii="仿宋" w:hAnsi="仿宋" w:cs="宋体"/>
          <w:b w:val="0"/>
          <w:bCs w:val="0"/>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3"/>
        <w:outlineLvl w:val="1"/>
      </w:pPr>
      <w:r>
        <w:br w:type="page"/>
      </w:r>
      <w:bookmarkStart w:id="55" w:name="_Toc15290410"/>
      <w:bookmarkStart w:id="56" w:name="_Toc18444"/>
      <w:r>
        <w:rPr>
          <w:rFonts w:hint="eastAsia"/>
        </w:rPr>
        <w:t>第四篇 投标人须知</w:t>
      </w:r>
      <w:bookmarkEnd w:id="55"/>
      <w:bookmarkEnd w:id="56"/>
    </w:p>
    <w:p>
      <w:pPr>
        <w:adjustRightInd w:val="0"/>
        <w:snapToGrid w:val="0"/>
        <w:spacing w:line="440" w:lineRule="exact"/>
        <w:ind w:firstLine="520" w:firstLineChars="200"/>
        <w:rPr>
          <w:rFonts w:ascii="仿宋" w:hAnsi="仿宋" w:eastAsia="仿宋" w:cs="宋体"/>
          <w:spacing w:val="-10"/>
          <w:sz w:val="28"/>
          <w:szCs w:val="28"/>
        </w:rPr>
      </w:pPr>
      <w:bookmarkStart w:id="57"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4"/>
        <w:bidi w:val="0"/>
        <w:outlineLvl w:val="0"/>
      </w:pPr>
      <w:bookmarkStart w:id="58" w:name="_Toc23180"/>
      <w:r>
        <w:rPr>
          <w:rFonts w:hint="eastAsia"/>
        </w:rPr>
        <w:t>一、投标费用</w:t>
      </w:r>
      <w:bookmarkEnd w:id="58"/>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57"/>
    <w:p>
      <w:pPr>
        <w:pStyle w:val="4"/>
        <w:bidi w:val="0"/>
        <w:outlineLvl w:val="0"/>
      </w:pPr>
      <w:bookmarkStart w:id="59" w:name="_Toc10696"/>
      <w:r>
        <w:rPr>
          <w:rFonts w:hint="eastAsia"/>
        </w:rPr>
        <w:t>二、投标文件构成要件及顺序</w:t>
      </w:r>
      <w:bookmarkEnd w:id="59"/>
    </w:p>
    <w:p>
      <w:pPr>
        <w:adjustRightInd w:val="0"/>
        <w:snapToGrid w:val="0"/>
        <w:spacing w:line="440" w:lineRule="exact"/>
        <w:ind w:firstLine="562" w:firstLineChars="200"/>
        <w:outlineLvl w:val="1"/>
        <w:rPr>
          <w:rFonts w:ascii="仿宋" w:hAnsi="仿宋" w:eastAsia="仿宋" w:cs="宋体"/>
          <w:b/>
          <w:sz w:val="28"/>
          <w:szCs w:val="28"/>
        </w:rPr>
      </w:pPr>
      <w:bookmarkStart w:id="60" w:name="_Toc4786"/>
      <w:bookmarkStart w:id="61" w:name="_Toc2124"/>
      <w:r>
        <w:rPr>
          <w:rFonts w:hint="eastAsia" w:ascii="仿宋" w:hAnsi="仿宋" w:eastAsia="仿宋" w:cs="宋体"/>
          <w:b/>
          <w:sz w:val="28"/>
          <w:szCs w:val="28"/>
        </w:rPr>
        <w:t>（一）商务技术标</w:t>
      </w:r>
      <w:bookmarkEnd w:id="60"/>
      <w:bookmarkEnd w:id="61"/>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投标人具有有效的《营业执照》、《税务登记证》、《组织机构代码证》或</w:t>
      </w:r>
      <w:r>
        <w:rPr>
          <w:rFonts w:hint="eastAsia" w:ascii="仿宋" w:hAnsi="仿宋" w:cs="宋体"/>
          <w:spacing w:val="-10"/>
          <w:sz w:val="28"/>
          <w:szCs w:val="28"/>
          <w:lang w:eastAsia="zh-CN"/>
        </w:rPr>
        <w:t>多证</w:t>
      </w:r>
      <w:r>
        <w:rPr>
          <w:rFonts w:hint="eastAsia" w:ascii="仿宋" w:hAnsi="仿宋" w:eastAsia="仿宋" w:cs="宋体"/>
          <w:spacing w:val="-10"/>
          <w:sz w:val="28"/>
          <w:szCs w:val="28"/>
        </w:rPr>
        <w:t>合一的《营业执照》，本采购项目属于其生产或经营范围；投标人基本账户开户许可证；</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法定代表人身份证明书（格式详见第五篇）；</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法定代表人授权委托书（格式详见第五篇）（若法定代表人亲自参加投标会的，则此项不提供）；</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投标人应具有《医疗器械经营企业许可证》</w:t>
      </w:r>
      <w:r>
        <w:rPr>
          <w:rFonts w:hint="eastAsia" w:ascii="仿宋" w:hAnsi="仿宋" w:cs="宋体"/>
          <w:spacing w:val="-10"/>
          <w:sz w:val="28"/>
          <w:szCs w:val="28"/>
          <w:lang w:eastAsia="zh-CN"/>
        </w:rPr>
        <w:t>或《医疗器械经营备案凭证》；</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pPr>
        <w:numPr>
          <w:ilvl w:val="0"/>
          <w:numId w:val="3"/>
        </w:numPr>
        <w:adjustRightInd w:val="0"/>
        <w:snapToGrid w:val="0"/>
        <w:spacing w:line="440" w:lineRule="exact"/>
        <w:rPr>
          <w:rFonts w:hint="eastAsia" w:ascii="宋体" w:hAnsi="宋体"/>
          <w:color w:val="auto"/>
          <w:szCs w:val="21"/>
        </w:rPr>
      </w:pP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商务要求</w:t>
      </w:r>
      <w:r>
        <w:rPr>
          <w:rFonts w:hint="eastAsia"/>
          <w:lang w:eastAsia="zh-CN"/>
        </w:rPr>
        <w:t>要求</w:t>
      </w:r>
      <w:r>
        <w:rPr>
          <w:rFonts w:hint="eastAsia" w:ascii="仿宋" w:hAnsi="仿宋" w:eastAsia="仿宋" w:cs="宋体"/>
          <w:spacing w:val="-10"/>
          <w:sz w:val="28"/>
          <w:szCs w:val="28"/>
        </w:rPr>
        <w:t>应答承诺书（格式详见第五篇）；</w:t>
      </w:r>
    </w:p>
    <w:p>
      <w:pPr>
        <w:numPr>
          <w:ilvl w:val="0"/>
          <w:numId w:val="3"/>
        </w:numPr>
        <w:adjustRightInd w:val="0"/>
        <w:snapToGrid w:val="0"/>
        <w:spacing w:line="440" w:lineRule="exact"/>
      </w:pPr>
      <w:r>
        <w:rPr>
          <w:rFonts w:hint="eastAsia" w:ascii="仿宋" w:hAnsi="仿宋" w:eastAsia="仿宋" w:cs="宋体"/>
          <w:spacing w:val="-10"/>
          <w:sz w:val="28"/>
          <w:szCs w:val="28"/>
        </w:rPr>
        <w:t>技术要求响应/偏离表</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质保、售后服务承诺书（格式自制）；</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投标人基本情况简介等其它相关资料。</w:t>
      </w:r>
    </w:p>
    <w:p>
      <w:pPr>
        <w:numPr>
          <w:ilvl w:val="0"/>
          <w:numId w:val="3"/>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产品彩页及产品相关资料</w:t>
      </w:r>
    </w:p>
    <w:p>
      <w:pPr>
        <w:adjustRightInd w:val="0"/>
        <w:snapToGrid w:val="0"/>
        <w:spacing w:line="440" w:lineRule="exact"/>
        <w:ind w:firstLine="562" w:firstLineChars="200"/>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outlineLvl w:val="1"/>
        <w:rPr>
          <w:rFonts w:ascii="仿宋" w:hAnsi="仿宋" w:eastAsia="仿宋" w:cs="宋体"/>
          <w:b/>
          <w:sz w:val="28"/>
          <w:szCs w:val="28"/>
        </w:rPr>
      </w:pPr>
      <w:bookmarkStart w:id="62" w:name="_Toc17747"/>
      <w:bookmarkStart w:id="63" w:name="_Toc9928"/>
      <w:r>
        <w:rPr>
          <w:rFonts w:hint="eastAsia" w:ascii="仿宋" w:hAnsi="仿宋" w:eastAsia="仿宋" w:cs="宋体"/>
          <w:b/>
          <w:sz w:val="28"/>
          <w:szCs w:val="28"/>
        </w:rPr>
        <w:t>（二）经济标</w:t>
      </w:r>
      <w:bookmarkEnd w:id="62"/>
      <w:bookmarkEnd w:id="63"/>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1、《投标承诺函》（格式详见第五篇）。</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p>
    <w:p>
      <w:pPr>
        <w:pStyle w:val="4"/>
        <w:bidi w:val="0"/>
        <w:outlineLvl w:val="0"/>
      </w:pPr>
      <w:bookmarkStart w:id="64" w:name="_Toc299"/>
      <w:r>
        <w:rPr>
          <w:rFonts w:hint="eastAsia"/>
        </w:rPr>
        <w:t>三、投标文件的制作</w:t>
      </w:r>
      <w:bookmarkEnd w:id="64"/>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spacing w:val="-10"/>
          <w:sz w:val="28"/>
          <w:szCs w:val="28"/>
        </w:rPr>
      </w:pPr>
      <w:bookmarkStart w:id="65" w:name="_Toc25772"/>
      <w:bookmarkStart w:id="66" w:name="_Toc781"/>
      <w:r>
        <w:rPr>
          <w:rFonts w:hint="eastAsia" w:ascii="仿宋" w:hAnsi="仿宋" w:eastAsia="仿宋" w:cs="宋体"/>
          <w:spacing w:val="-10"/>
          <w:sz w:val="28"/>
          <w:szCs w:val="28"/>
        </w:rPr>
        <w:t>（四）本采购文件中规定了投标文件格式的部分，投标人必须采用。</w:t>
      </w:r>
      <w:bookmarkEnd w:id="65"/>
      <w:bookmarkEnd w:id="6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4"/>
        <w:bidi w:val="0"/>
        <w:outlineLvl w:val="0"/>
      </w:pPr>
      <w:bookmarkStart w:id="67" w:name="_Toc26011"/>
      <w:r>
        <w:rPr>
          <w:rFonts w:hint="eastAsia"/>
        </w:rPr>
        <w:t>四、投标文件的递交和处置</w:t>
      </w:r>
      <w:bookmarkEnd w:id="67"/>
    </w:p>
    <w:p>
      <w:pPr>
        <w:adjustRightInd w:val="0"/>
        <w:snapToGrid w:val="0"/>
        <w:spacing w:line="440" w:lineRule="exact"/>
        <w:ind w:firstLine="520" w:firstLineChars="200"/>
        <w:outlineLvl w:val="1"/>
        <w:rPr>
          <w:rFonts w:ascii="仿宋" w:hAnsi="仿宋" w:eastAsia="仿宋" w:cs="宋体"/>
          <w:spacing w:val="-10"/>
          <w:sz w:val="28"/>
          <w:szCs w:val="28"/>
        </w:rPr>
      </w:pPr>
      <w:bookmarkStart w:id="68" w:name="_Toc5674"/>
      <w:bookmarkStart w:id="69" w:name="_Toc527"/>
      <w:r>
        <w:rPr>
          <w:rFonts w:hint="eastAsia" w:ascii="仿宋" w:hAnsi="仿宋" w:eastAsia="仿宋" w:cs="宋体"/>
          <w:spacing w:val="-10"/>
          <w:sz w:val="28"/>
          <w:szCs w:val="28"/>
        </w:rPr>
        <w:t>（一）投标人参加询价会议时必须提交以下资料：</w:t>
      </w:r>
      <w:bookmarkEnd w:id="68"/>
      <w:bookmarkEnd w:id="6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4"/>
        <w:bidi w:val="0"/>
        <w:outlineLvl w:val="0"/>
      </w:pPr>
      <w:bookmarkStart w:id="70" w:name="_Toc2396"/>
      <w:r>
        <w:rPr>
          <w:rFonts w:hint="eastAsia"/>
        </w:rPr>
        <w:t>五、投标保证金的交纳与处置</w:t>
      </w:r>
      <w:bookmarkEnd w:id="70"/>
    </w:p>
    <w:p>
      <w:pPr>
        <w:pStyle w:val="4"/>
        <w:bidi w:val="0"/>
        <w:ind w:firstLine="520" w:firstLineChars="200"/>
        <w:rPr>
          <w:rFonts w:hint="eastAsia" w:ascii="仿宋" w:hAnsi="仿宋" w:eastAsia="仿宋" w:cs="宋体"/>
          <w:b w:val="0"/>
          <w:bCs w:val="0"/>
          <w:spacing w:val="-10"/>
          <w:kern w:val="2"/>
          <w:sz w:val="28"/>
          <w:szCs w:val="28"/>
          <w:lang w:val="en-US" w:eastAsia="zh-CN" w:bidi="ar-SA"/>
        </w:rPr>
      </w:pPr>
      <w:bookmarkStart w:id="71" w:name="_Toc2269"/>
      <w:bookmarkStart w:id="72" w:name="_Toc1111"/>
      <w:r>
        <w:rPr>
          <w:rFonts w:hint="eastAsia" w:ascii="仿宋" w:hAnsi="仿宋" w:eastAsia="仿宋" w:cs="宋体"/>
          <w:b w:val="0"/>
          <w:bCs w:val="0"/>
          <w:spacing w:val="-10"/>
          <w:kern w:val="2"/>
          <w:sz w:val="28"/>
          <w:szCs w:val="28"/>
          <w:lang w:val="en-US" w:eastAsia="zh-CN" w:bidi="ar-SA"/>
        </w:rPr>
        <w:t>无需缴纳。</w:t>
      </w:r>
      <w:bookmarkEnd w:id="71"/>
      <w:bookmarkEnd w:id="72"/>
    </w:p>
    <w:p>
      <w:pPr>
        <w:pStyle w:val="4"/>
        <w:bidi w:val="0"/>
        <w:outlineLvl w:val="0"/>
      </w:pPr>
      <w:bookmarkStart w:id="73" w:name="_Toc11296"/>
      <w:r>
        <w:rPr>
          <w:rFonts w:hint="eastAsia"/>
        </w:rPr>
        <w:t>六、履约保证金</w:t>
      </w:r>
      <w:bookmarkEnd w:id="7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w:t>
      </w:r>
      <w:r>
        <w:rPr>
          <w:rFonts w:hint="eastAsia" w:ascii="仿宋" w:hAnsi="仿宋" w:eastAsia="仿宋" w:cs="宋体"/>
          <w:b/>
          <w:bCs/>
          <w:spacing w:val="-10"/>
          <w:sz w:val="28"/>
          <w:szCs w:val="28"/>
        </w:rPr>
        <w:t>履约保证金的退还</w:t>
      </w:r>
      <w:r>
        <w:rPr>
          <w:rFonts w:hint="eastAsia" w:ascii="仿宋" w:hAnsi="仿宋" w:eastAsia="仿宋" w:cs="宋体"/>
          <w:spacing w:val="-10"/>
          <w:sz w:val="28"/>
          <w:szCs w:val="28"/>
        </w:rPr>
        <w:t>。</w:t>
      </w:r>
      <w:r>
        <w:rPr>
          <w:rFonts w:hint="eastAsia" w:ascii="仿宋" w:hAnsi="仿宋" w:cs="宋体"/>
          <w:spacing w:val="-10"/>
          <w:sz w:val="28"/>
          <w:szCs w:val="28"/>
          <w:lang w:eastAsia="zh-CN"/>
        </w:rPr>
        <w:t>质保期结束，且无质量问题，采购人在</w:t>
      </w:r>
      <w:r>
        <w:rPr>
          <w:rFonts w:hint="eastAsia" w:ascii="仿宋" w:hAnsi="仿宋" w:eastAsia="仿宋" w:cs="宋体"/>
          <w:spacing w:val="-10"/>
          <w:sz w:val="28"/>
          <w:szCs w:val="28"/>
        </w:rPr>
        <w:t>30个工作日内全额无息退还。</w:t>
      </w:r>
    </w:p>
    <w:p>
      <w:pPr>
        <w:pStyle w:val="4"/>
        <w:bidi w:val="0"/>
        <w:outlineLvl w:val="0"/>
      </w:pPr>
      <w:bookmarkStart w:id="74" w:name="_Toc26446"/>
      <w:r>
        <w:rPr>
          <w:rFonts w:hint="eastAsia"/>
        </w:rPr>
        <w:t>七、询价开标程序</w:t>
      </w:r>
      <w:bookmarkEnd w:id="74"/>
    </w:p>
    <w:p>
      <w:pPr>
        <w:adjustRightInd w:val="0"/>
        <w:snapToGrid w:val="0"/>
        <w:spacing w:line="440" w:lineRule="exact"/>
        <w:ind w:firstLine="520" w:firstLineChars="200"/>
        <w:outlineLvl w:val="1"/>
        <w:rPr>
          <w:rFonts w:ascii="仿宋" w:hAnsi="仿宋" w:eastAsia="仿宋" w:cs="宋体"/>
          <w:spacing w:val="-10"/>
          <w:sz w:val="28"/>
          <w:szCs w:val="28"/>
        </w:rPr>
      </w:pPr>
      <w:bookmarkStart w:id="75" w:name="_Toc26647"/>
      <w:bookmarkStart w:id="76" w:name="_Toc27100"/>
      <w:r>
        <w:rPr>
          <w:rFonts w:hint="eastAsia" w:ascii="仿宋" w:hAnsi="仿宋" w:eastAsia="仿宋" w:cs="宋体"/>
          <w:spacing w:val="-10"/>
          <w:sz w:val="28"/>
          <w:szCs w:val="28"/>
        </w:rPr>
        <w:t>（一）依法成立项目询价小组。</w:t>
      </w:r>
      <w:bookmarkEnd w:id="75"/>
      <w:bookmarkEnd w:id="7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（二）召开询价小组成员会议。确定询价小组组长，介绍项目前期准备情况，学习询价采购文件内容，掌握理解涉及本次采购项目的具体事项等。</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（三）由会议主持人清点投标单位、介绍询价小组成员及组长、现场监督人员。</w:t>
      </w:r>
    </w:p>
    <w:p>
      <w:pPr>
        <w:adjustRightInd w:val="0"/>
        <w:snapToGrid w:val="0"/>
        <w:spacing w:line="440" w:lineRule="exact"/>
        <w:ind w:firstLine="520" w:firstLineChars="200"/>
        <w:outlineLvl w:val="1"/>
        <w:rPr>
          <w:rFonts w:ascii="仿宋" w:hAnsi="仿宋" w:eastAsia="仿宋" w:cs="宋体"/>
          <w:spacing w:val="-10"/>
          <w:sz w:val="28"/>
          <w:szCs w:val="28"/>
        </w:rPr>
      </w:pPr>
      <w:bookmarkStart w:id="77" w:name="_Toc12532"/>
      <w:bookmarkStart w:id="78" w:name="_Toc27946"/>
      <w:r>
        <w:rPr>
          <w:rFonts w:hint="eastAsia" w:ascii="仿宋" w:hAnsi="仿宋" w:eastAsia="仿宋" w:cs="宋体"/>
          <w:spacing w:val="-10"/>
          <w:sz w:val="28"/>
          <w:szCs w:val="28"/>
        </w:rPr>
        <w:t>（四）由询价会现场监督人员宣读开、评标纪律。</w:t>
      </w:r>
      <w:bookmarkEnd w:id="77"/>
      <w:bookmarkEnd w:id="78"/>
    </w:p>
    <w:p>
      <w:pPr>
        <w:adjustRightInd w:val="0"/>
        <w:snapToGrid w:val="0"/>
        <w:spacing w:line="440" w:lineRule="exact"/>
        <w:ind w:firstLine="560" w:firstLineChars="200"/>
        <w:rPr>
          <w:rFonts w:ascii="仿宋" w:hAnsi="仿宋" w:eastAsia="仿宋" w:cs="宋体"/>
          <w:spacing w:val="-10"/>
          <w:sz w:val="28"/>
          <w:szCs w:val="28"/>
        </w:rPr>
      </w:pPr>
      <w:r>
        <w:rPr>
          <w:rFonts w:hint="eastAsia" w:ascii="仿宋" w:hAnsi="仿宋" w:eastAsia="仿宋" w:cs="宋体"/>
          <w:bCs/>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（九）由本项目询价会主持人宣布询价会议结束。</w:t>
      </w:r>
    </w:p>
    <w:p>
      <w:pPr>
        <w:pStyle w:val="4"/>
        <w:bidi w:val="0"/>
        <w:outlineLvl w:val="0"/>
      </w:pPr>
      <w:bookmarkStart w:id="79" w:name="_Toc3621"/>
      <w:r>
        <w:rPr>
          <w:rFonts w:hint="eastAsia"/>
        </w:rPr>
        <w:t>八、采购结果公示</w:t>
      </w:r>
      <w:bookmarkEnd w:id="7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4"/>
        <w:bidi w:val="0"/>
        <w:outlineLvl w:val="0"/>
      </w:pPr>
      <w:bookmarkStart w:id="80" w:name="_Toc17125"/>
      <w:r>
        <w:rPr>
          <w:rFonts w:hint="eastAsia"/>
        </w:rPr>
        <w:t>九、合同签订及备案</w:t>
      </w:r>
      <w:bookmarkEnd w:id="8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pPr>
        <w:adjustRightInd w:val="0"/>
        <w:snapToGrid w:val="0"/>
        <w:spacing w:line="440" w:lineRule="exact"/>
        <w:ind w:firstLine="520" w:firstLineChars="200"/>
        <w:outlineLvl w:val="1"/>
        <w:rPr>
          <w:rFonts w:ascii="仿宋" w:hAnsi="仿宋" w:eastAsia="仿宋" w:cs="宋体"/>
          <w:spacing w:val="-10"/>
          <w:sz w:val="28"/>
          <w:szCs w:val="28"/>
        </w:rPr>
      </w:pPr>
      <w:bookmarkStart w:id="81" w:name="_Toc6660"/>
      <w:bookmarkStart w:id="82" w:name="_Toc9369"/>
      <w:r>
        <w:rPr>
          <w:rFonts w:hint="eastAsia" w:ascii="仿宋" w:hAnsi="仿宋" w:eastAsia="仿宋" w:cs="宋体"/>
          <w:spacing w:val="-10"/>
          <w:sz w:val="28"/>
          <w:szCs w:val="28"/>
        </w:rPr>
        <w:t>（三）合同至少一式四份：采购人三份、成交人一份。</w:t>
      </w:r>
      <w:bookmarkEnd w:id="81"/>
      <w:bookmarkEnd w:id="82"/>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3"/>
        <w:rPr>
          <w:rFonts w:cs="华文中宋"/>
          <w:sz w:val="52"/>
          <w:szCs w:val="52"/>
        </w:rPr>
      </w:pPr>
      <w:bookmarkStart w:id="83" w:name="_Toc4308"/>
      <w:bookmarkStart w:id="84" w:name="_Toc15290411"/>
      <w:r>
        <w:rPr>
          <w:rFonts w:hint="eastAsia"/>
        </w:rPr>
        <w:t>第五篇 投标文件部分内容格式及附件</w:t>
      </w:r>
      <w:bookmarkEnd w:id="83"/>
      <w:bookmarkEnd w:id="84"/>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4680" w:firstLineChars="1300"/>
        <w:rPr>
          <w:sz w:val="36"/>
          <w:szCs w:val="36"/>
        </w:rPr>
      </w:pPr>
      <w:bookmarkStart w:id="85" w:name="_Toc9226_WPSOffice_Level1"/>
      <w:bookmarkStart w:id="86" w:name="_Toc22874_WPSOffice_Level1"/>
      <w:bookmarkStart w:id="87" w:name="_Toc27695_WPSOffice_Level1"/>
      <w:bookmarkStart w:id="88" w:name="_Toc10905_WPSOffice_Level1"/>
      <w:bookmarkStart w:id="89" w:name="_Toc2787_WPSOffice_Level1"/>
      <w:bookmarkStart w:id="90" w:name="_Toc21738_WPSOffice_Level1"/>
      <w:bookmarkStart w:id="91" w:name="_Toc29167_WPSOffice_Level1"/>
      <w:bookmarkStart w:id="92" w:name="_Toc31009_WPSOffice_Level1"/>
      <w:bookmarkStart w:id="93" w:name="_Toc21936_WPSOffice_Level1"/>
      <w:bookmarkStart w:id="94" w:name="_Toc3441_WPSOffice_Level1"/>
      <w:bookmarkStart w:id="95" w:name="_Toc8184_WPSOffice_Level1"/>
      <w:bookmarkStart w:id="96" w:name="_Toc10658_WPSOffice_Level1"/>
      <w:bookmarkStart w:id="97" w:name="_Toc919_WPSOffice_Level1"/>
      <w:r>
        <w:rPr>
          <w:rFonts w:hint="eastAsia"/>
          <w:sz w:val="36"/>
          <w:szCs w:val="36"/>
        </w:rPr>
        <w:t>报名表</w:t>
      </w:r>
      <w:bookmarkEnd w:id="85"/>
      <w:bookmarkEnd w:id="86"/>
      <w:bookmarkEnd w:id="87"/>
      <w:bookmarkEnd w:id="88"/>
      <w:bookmarkEnd w:id="89"/>
      <w:bookmarkEnd w:id="90"/>
      <w:bookmarkEnd w:id="91"/>
      <w:bookmarkEnd w:id="92"/>
      <w:bookmarkEnd w:id="93"/>
      <w:bookmarkEnd w:id="94"/>
      <w:bookmarkEnd w:id="95"/>
      <w:bookmarkEnd w:id="96"/>
      <w:bookmarkEnd w:id="97"/>
    </w:p>
    <w:p>
      <w:pPr>
        <w:bidi w:val="0"/>
      </w:pPr>
      <w:r>
        <w:rPr>
          <w:rFonts w:hint="eastAsia"/>
        </w:rPr>
        <w:t>投标单位（公章）:                              时间：    年  月   日</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jc w:val="center"/>
        <w:rPr>
          <w:sz w:val="36"/>
          <w:szCs w:val="36"/>
        </w:rPr>
      </w:pPr>
      <w:bookmarkStart w:id="98" w:name="_Toc30837_WPSOffice_Level2"/>
      <w:bookmarkStart w:id="99" w:name="_Toc18966_WPSOffice_Level2"/>
      <w:bookmarkStart w:id="100" w:name="_Toc15794_WPSOffice_Level2"/>
      <w:bookmarkStart w:id="101" w:name="_Toc31128_WPSOffice_Level2"/>
      <w:bookmarkStart w:id="102" w:name="_Toc29153_WPSOffice_Level2"/>
      <w:bookmarkStart w:id="103" w:name="_Toc24260_WPSOffice_Level2"/>
      <w:bookmarkStart w:id="104" w:name="_Toc8090_WPSOffice_Level2"/>
      <w:bookmarkStart w:id="105" w:name="_Toc25504_WPSOffice_Level1"/>
      <w:bookmarkStart w:id="106" w:name="_Toc21162_WPSOffice_Level2"/>
      <w:bookmarkStart w:id="107" w:name="_Toc14552_WPSOffice_Level1"/>
      <w:bookmarkStart w:id="108" w:name="_Toc28093_WPSOffice_Level1"/>
      <w:bookmarkStart w:id="109" w:name="_Toc13767_WPSOffice_Level2"/>
      <w:bookmarkStart w:id="110" w:name="_Toc1908_WPSOffice_Level2"/>
      <w:r>
        <w:rPr>
          <w:rFonts w:hint="eastAsia"/>
          <w:sz w:val="36"/>
          <w:szCs w:val="36"/>
        </w:rPr>
        <w:t>投标承诺函</w:t>
      </w:r>
      <w:bookmarkEnd w:id="98"/>
      <w:bookmarkEnd w:id="99"/>
      <w:bookmarkEnd w:id="100"/>
      <w:bookmarkEnd w:id="101"/>
      <w:bookmarkEnd w:id="102"/>
      <w:bookmarkEnd w:id="103"/>
      <w:bookmarkEnd w:id="104"/>
      <w:bookmarkEnd w:id="105"/>
      <w:bookmarkEnd w:id="106"/>
      <w:bookmarkEnd w:id="107"/>
      <w:bookmarkEnd w:id="108"/>
      <w:bookmarkEnd w:id="109"/>
      <w:bookmarkEnd w:id="110"/>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眼科手术器械</w:t>
      </w:r>
      <w:r>
        <w:rPr>
          <w:rFonts w:hint="eastAsia"/>
        </w:rPr>
        <w:t>》【</w:t>
      </w:r>
      <w:r>
        <w:rPr>
          <w:rFonts w:hint="eastAsia"/>
          <w:lang w:eastAsia="zh-CN"/>
        </w:rPr>
        <w:t>TYC（询）2024-014</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outlineLvl w:val="9"/>
        <w:rPr>
          <w:rFonts w:hint="eastAsia"/>
        </w:rPr>
      </w:pPr>
      <w:bookmarkStart w:id="111" w:name="_Toc5265_WPSOffice_Level1"/>
      <w:bookmarkStart w:id="112" w:name="_Toc30188_WPSOffice_Level1"/>
      <w:bookmarkStart w:id="113" w:name="_Toc4586_WPSOffice_Level1"/>
      <w:bookmarkStart w:id="114" w:name="_Toc20925_WPSOffice_Level1"/>
      <w:bookmarkStart w:id="115" w:name="_Toc28528_WPSOffice_Level1"/>
    </w:p>
    <w:p>
      <w:pPr>
        <w:jc w:val="center"/>
        <w:rPr>
          <w:sz w:val="36"/>
          <w:szCs w:val="36"/>
        </w:rPr>
      </w:pPr>
      <w:bookmarkStart w:id="116" w:name="_Toc9539_WPSOffice_Level2"/>
      <w:bookmarkStart w:id="117" w:name="_Toc19424_WPSOffice_Level2"/>
      <w:bookmarkStart w:id="118" w:name="_Toc22034_WPSOffice_Level2"/>
      <w:bookmarkStart w:id="119" w:name="_Toc15725_WPSOffice_Level2"/>
      <w:bookmarkStart w:id="120" w:name="_Toc17350_WPSOffice_Level2"/>
      <w:bookmarkStart w:id="121" w:name="_Toc26545_WPSOffice_Level2"/>
      <w:bookmarkStart w:id="122" w:name="_Toc26410_WPSOffice_Level2"/>
      <w:bookmarkStart w:id="123" w:name="_Toc24290_WPSOffice_Level2"/>
      <w:bookmarkStart w:id="124" w:name="_Toc1199_WPSOffice_Level2"/>
      <w:bookmarkStart w:id="125" w:name="_Toc6027_WPSOffice_Level2"/>
      <w:r>
        <w:rPr>
          <w:rFonts w:hint="eastAsia"/>
          <w:sz w:val="36"/>
          <w:szCs w:val="36"/>
        </w:rPr>
        <w:t>投标报价表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bidi w:val="0"/>
      </w:pPr>
      <w:r>
        <w:rPr>
          <w:rFonts w:hint="eastAsia"/>
          <w:lang w:eastAsia="zh-CN"/>
        </w:rPr>
        <w:t>项目名称</w:t>
      </w:r>
      <w:r>
        <w:rPr>
          <w:rFonts w:hint="eastAsia"/>
        </w:rPr>
        <w:t xml:space="preserve">：                                  </w:t>
      </w:r>
      <w:r>
        <w:rPr>
          <w:rFonts w:hint="eastAsia"/>
          <w:lang w:eastAsia="zh-CN"/>
        </w:rPr>
        <w:t>项目编号：</w:t>
      </w:r>
      <w:r>
        <w:rPr>
          <w:rFonts w:hint="eastAsia"/>
        </w:rPr>
        <w:t xml:space="preserve">    </w:t>
      </w:r>
    </w:p>
    <w:tbl>
      <w:tblPr>
        <w:tblStyle w:val="17"/>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vAlign w:val="center"/>
          </w:tcPr>
          <w:p>
            <w:pPr>
              <w:adjustRightInd w:val="0"/>
              <w:snapToGrid w:val="0"/>
              <w:spacing w:line="440" w:lineRule="exact"/>
              <w:ind w:firstLine="118" w:firstLineChars="50"/>
              <w:jc w:val="center"/>
              <w:rPr>
                <w:rFonts w:hint="eastAsia" w:ascii="仿宋" w:hAnsi="仿宋" w:eastAsia="仿宋" w:cs="宋体"/>
                <w:spacing w:val="-2"/>
                <w:sz w:val="24"/>
                <w:szCs w:val="24"/>
              </w:rPr>
            </w:pPr>
            <w:r>
              <w:rPr>
                <w:rFonts w:hint="eastAsia" w:ascii="仿宋" w:hAnsi="仿宋" w:eastAsia="仿宋" w:cs="宋体"/>
                <w:spacing w:val="-2"/>
                <w:sz w:val="24"/>
                <w:szCs w:val="24"/>
              </w:rPr>
              <w:t>项 目 名 称</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生产厂家</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规格型号</w:t>
            </w:r>
          </w:p>
        </w:tc>
        <w:tc>
          <w:tcPr>
            <w:tcW w:w="913"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数量</w:t>
            </w:r>
          </w:p>
        </w:tc>
        <w:tc>
          <w:tcPr>
            <w:tcW w:w="1631"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单价（万元）</w:t>
            </w:r>
          </w:p>
        </w:tc>
        <w:tc>
          <w:tcPr>
            <w:tcW w:w="2054"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pPr>
              <w:adjustRightInd w:val="0"/>
              <w:snapToGrid w:val="0"/>
              <w:spacing w:line="440" w:lineRule="exact"/>
              <w:ind w:firstLine="118" w:firstLineChars="50"/>
              <w:jc w:val="center"/>
              <w:rPr>
                <w:rFonts w:hint="eastAsia" w:ascii="仿宋" w:hAnsi="仿宋" w:eastAsia="仿宋" w:cs="宋体"/>
                <w:spacing w:val="-2"/>
                <w:sz w:val="24"/>
                <w:szCs w:val="24"/>
              </w:rPr>
            </w:pPr>
            <w:r>
              <w:rPr>
                <w:rFonts w:hint="eastAsia" w:ascii="仿宋" w:hAnsi="仿宋" w:cs="宋体"/>
                <w:spacing w:val="-2"/>
                <w:sz w:val="24"/>
                <w:szCs w:val="24"/>
                <w:lang w:val="en-US" w:eastAsia="zh-CN"/>
              </w:rPr>
              <w:t>眼科手术器械</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913"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c>
          <w:tcPr>
            <w:tcW w:w="1631" w:type="dxa"/>
            <w:vAlign w:val="center"/>
          </w:tcPr>
          <w:p>
            <w:pPr>
              <w:adjustRightInd w:val="0"/>
              <w:snapToGrid w:val="0"/>
              <w:spacing w:line="440" w:lineRule="exact"/>
              <w:ind w:firstLine="118" w:firstLineChars="50"/>
              <w:jc w:val="center"/>
              <w:rPr>
                <w:rFonts w:hint="default"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c>
          <w:tcPr>
            <w:tcW w:w="2054" w:type="dxa"/>
            <w:vAlign w:val="center"/>
          </w:tcPr>
          <w:p>
            <w:pPr>
              <w:adjustRightInd w:val="0"/>
              <w:snapToGrid w:val="0"/>
              <w:spacing w:line="440" w:lineRule="exact"/>
              <w:ind w:firstLine="118" w:firstLineChars="50"/>
              <w:jc w:val="center"/>
              <w:rPr>
                <w:rFonts w:hint="default"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大写</w:t>
            </w:r>
          </w:p>
        </w:tc>
        <w:tc>
          <w:tcPr>
            <w:tcW w:w="7370" w:type="dxa"/>
            <w:gridSpan w:val="5"/>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填报说明：</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法定代表人（或代理人）联系电话：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pPr>
      <w:r>
        <w:rPr>
          <w:rFonts w:hint="eastAsia"/>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rPr>
      </w:pPr>
      <w:r>
        <w:rPr>
          <w:rFonts w:hint="eastAsia"/>
        </w:rPr>
        <w:t>年  月  日</w:t>
      </w:r>
    </w:p>
    <w:p>
      <w:pPr>
        <w:rPr>
          <w:rFonts w:hint="eastAsia"/>
        </w:rPr>
      </w:pPr>
      <w:r>
        <w:rPr>
          <w:rFonts w:hint="eastAsia"/>
        </w:rPr>
        <w:br w:type="page"/>
      </w:r>
    </w:p>
    <w:p>
      <w:pPr>
        <w:jc w:val="center"/>
        <w:outlineLvl w:val="0"/>
        <w:rPr>
          <w:rFonts w:hint="eastAsia"/>
          <w:sz w:val="36"/>
          <w:szCs w:val="36"/>
        </w:rPr>
      </w:pPr>
      <w:bookmarkStart w:id="126" w:name="_Toc24746_WPSOffice_Level2"/>
      <w:bookmarkStart w:id="127" w:name="_Toc17786_WPSOffice_Level2"/>
      <w:bookmarkStart w:id="128" w:name="_Toc7476_WPSOffice_Level2"/>
      <w:bookmarkStart w:id="129" w:name="_Toc28996_WPSOffice_Level2"/>
      <w:bookmarkStart w:id="130" w:name="_Toc10943_WPSOffice_Level2"/>
      <w:bookmarkStart w:id="131" w:name="_Toc29940_WPSOffice_Level1"/>
      <w:bookmarkStart w:id="132" w:name="_Toc23018_WPSOffice_Level2"/>
      <w:bookmarkStart w:id="133" w:name="_Toc4434_WPSOffice_Level2"/>
      <w:bookmarkStart w:id="134" w:name="_Toc6188_WPSOffice_Level2"/>
      <w:bookmarkStart w:id="135" w:name="_Toc25781_WPSOffice_Level1"/>
      <w:bookmarkStart w:id="136" w:name="_Toc9354"/>
      <w:bookmarkStart w:id="137" w:name="_Toc16189_WPSOffice_Level2"/>
      <w:bookmarkStart w:id="138" w:name="_Toc2170_WPSOffice_Level2"/>
      <w:r>
        <w:rPr>
          <w:rFonts w:hint="eastAsia"/>
          <w:sz w:val="36"/>
          <w:szCs w:val="36"/>
        </w:rPr>
        <w:t>法定代表人身份证明书</w:t>
      </w:r>
      <w:bookmarkEnd w:id="126"/>
      <w:bookmarkEnd w:id="127"/>
      <w:bookmarkEnd w:id="128"/>
      <w:bookmarkEnd w:id="129"/>
      <w:bookmarkEnd w:id="130"/>
      <w:bookmarkEnd w:id="131"/>
      <w:bookmarkEnd w:id="132"/>
      <w:bookmarkEnd w:id="133"/>
      <w:bookmarkEnd w:id="134"/>
      <w:bookmarkEnd w:id="135"/>
      <w:bookmarkEnd w:id="136"/>
      <w:bookmarkEnd w:id="137"/>
      <w:bookmarkEnd w:id="138"/>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jc w:val="center"/>
        <w:outlineLvl w:val="0"/>
        <w:rPr>
          <w:rFonts w:hint="eastAsia"/>
        </w:rPr>
      </w:pPr>
      <w:bookmarkStart w:id="139" w:name="_Toc7920_WPSOffice_Level2"/>
      <w:bookmarkStart w:id="140" w:name="_Toc29596_WPSOffice_Level1"/>
      <w:bookmarkStart w:id="141" w:name="_Toc15123_WPSOffice_Level2"/>
      <w:bookmarkStart w:id="142" w:name="_Toc31461"/>
      <w:bookmarkStart w:id="143" w:name="_Toc6070_WPSOffice_Level2"/>
      <w:bookmarkStart w:id="144" w:name="_Toc6815_WPSOffice_Level2"/>
      <w:bookmarkStart w:id="145" w:name="_Toc24375_WPSOffice_Level1"/>
      <w:bookmarkStart w:id="146" w:name="_Toc31331_WPSOffice_Level2"/>
      <w:bookmarkStart w:id="147" w:name="_Toc2886_WPSOffice_Level2"/>
      <w:bookmarkStart w:id="148" w:name="_Toc18914_WPSOffice_Level1"/>
      <w:bookmarkStart w:id="149" w:name="_Toc11448_WPSOffice_Level2"/>
      <w:bookmarkStart w:id="150" w:name="_Toc29856_WPSOffice_Level1"/>
      <w:bookmarkStart w:id="151" w:name="_Toc21437_WPSOffice_Level2"/>
      <w:bookmarkStart w:id="152" w:name="_Toc23177_WPSOffice_Level1"/>
      <w:bookmarkStart w:id="153" w:name="_Toc26171_WPSOffice_Level2"/>
      <w:bookmarkStart w:id="154" w:name="_Toc31413_WPSOffice_Level2"/>
      <w:r>
        <w:rPr>
          <w:rFonts w:hint="eastAsia"/>
          <w:sz w:val="36"/>
          <w:szCs w:val="36"/>
        </w:rPr>
        <w:t>法定代表人授权委托书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眼科手术器械</w:t>
      </w:r>
      <w:r>
        <w:rPr>
          <w:rFonts w:hint="eastAsia"/>
        </w:rPr>
        <w:t>》【</w:t>
      </w:r>
      <w:r>
        <w:rPr>
          <w:rFonts w:hint="eastAsia"/>
          <w:lang w:eastAsia="zh-CN"/>
        </w:rPr>
        <w:t>TYC（询）2024-014</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rPr>
          <w:rFonts w:hint="eastAsia"/>
        </w:rPr>
      </w:pPr>
      <w:bookmarkStart w:id="155" w:name="_Toc21021_WPSOffice_Level1"/>
      <w:bookmarkStart w:id="156" w:name="_Toc22070_WPSOffice_Level1"/>
      <w:bookmarkStart w:id="157" w:name="_Toc31536_WPSOffice_Level1"/>
    </w:p>
    <w:p>
      <w:pPr>
        <w:bidi w:val="0"/>
        <w:ind w:firstLine="6160" w:firstLineChars="2200"/>
      </w:pPr>
      <w:r>
        <w:rPr>
          <w:rFonts w:hint="eastAsia"/>
        </w:rPr>
        <w:t xml:space="preserve">投标人（公章）： </w:t>
      </w:r>
    </w:p>
    <w:p>
      <w:pPr>
        <w:bidi w:val="0"/>
        <w:ind w:firstLine="5880" w:firstLineChars="2100"/>
        <w:rPr>
          <w:rFonts w:hint="eastAsia"/>
        </w:rPr>
      </w:pPr>
      <w:r>
        <w:rPr>
          <w:rFonts w:hint="eastAsia"/>
        </w:rPr>
        <w:t>年  月  日</w:t>
      </w:r>
    </w:p>
    <w:p>
      <w:pPr>
        <w:rPr>
          <w:rFonts w:hint="eastAsia"/>
        </w:rPr>
      </w:pPr>
      <w:r>
        <w:rPr>
          <w:rFonts w:hint="eastAsia"/>
        </w:rPr>
        <w:br w:type="page"/>
      </w:r>
    </w:p>
    <w:p>
      <w:pPr>
        <w:rPr>
          <w:rFonts w:hint="eastAsia"/>
        </w:rPr>
      </w:pPr>
    </w:p>
    <w:p>
      <w:pPr>
        <w:bidi w:val="0"/>
        <w:jc w:val="center"/>
        <w:rPr>
          <w:rFonts w:hint="eastAsia"/>
          <w:sz w:val="36"/>
          <w:szCs w:val="36"/>
        </w:rPr>
      </w:pPr>
      <w:bookmarkStart w:id="158" w:name="_Toc12294_WPSOffice_Level2"/>
      <w:bookmarkStart w:id="159" w:name="_Toc11275_WPSOffice_Level2"/>
      <w:bookmarkStart w:id="160" w:name="_Toc29280_WPSOffice_Level2"/>
      <w:bookmarkStart w:id="161" w:name="_Toc16744_WPSOffice_Level2"/>
      <w:bookmarkStart w:id="162" w:name="_Toc14616_WPSOffice_Level2"/>
      <w:bookmarkStart w:id="163" w:name="_Toc9887_WPSOffice_Level2"/>
      <w:bookmarkStart w:id="164" w:name="_Toc16263_WPSOffice_Level2"/>
      <w:bookmarkStart w:id="165" w:name="_Toc2928_WPSOffice_Level2"/>
      <w:bookmarkStart w:id="166" w:name="_Toc28024_WPSOffice_Level2"/>
      <w:bookmarkStart w:id="167" w:name="_Toc7555_WPSOffice_Level2"/>
      <w:r>
        <w:rPr>
          <w:rFonts w:hint="eastAsia"/>
          <w:sz w:val="36"/>
          <w:szCs w:val="36"/>
        </w:rPr>
        <w:t>商务</w:t>
      </w:r>
      <w:r>
        <w:rPr>
          <w:rFonts w:hint="eastAsia"/>
          <w:sz w:val="36"/>
          <w:szCs w:val="36"/>
          <w:lang w:eastAsia="zh-CN"/>
        </w:rPr>
        <w:t>要求</w:t>
      </w:r>
      <w:r>
        <w:rPr>
          <w:rFonts w:hint="eastAsia"/>
          <w:sz w:val="36"/>
          <w:szCs w:val="36"/>
        </w:rPr>
        <w:t>应答承诺书</w:t>
      </w:r>
      <w:bookmarkEnd w:id="155"/>
      <w:bookmarkEnd w:id="156"/>
      <w:bookmarkEnd w:id="157"/>
      <w:bookmarkEnd w:id="158"/>
      <w:bookmarkEnd w:id="159"/>
      <w:bookmarkEnd w:id="160"/>
      <w:bookmarkEnd w:id="161"/>
      <w:bookmarkEnd w:id="162"/>
      <w:bookmarkEnd w:id="163"/>
      <w:bookmarkEnd w:id="164"/>
      <w:bookmarkEnd w:id="165"/>
      <w:bookmarkEnd w:id="166"/>
      <w:bookmarkEnd w:id="167"/>
    </w:p>
    <w:p>
      <w:pPr>
        <w:bidi w:val="0"/>
        <w:ind w:firstLine="560" w:firstLineChars="200"/>
        <w:rPr>
          <w:rFonts w:hint="eastAsia"/>
        </w:rPr>
      </w:pPr>
      <w:r>
        <w:rPr>
          <w:rFonts w:hint="eastAsia"/>
        </w:rPr>
        <w:t>重庆市铜梁区人民医院：根据你方制发的《</w:t>
      </w:r>
      <w:r>
        <w:rPr>
          <w:rFonts w:hint="eastAsia"/>
          <w:lang w:eastAsia="zh-CN"/>
        </w:rPr>
        <w:t>眼科手术器械</w:t>
      </w:r>
      <w:r>
        <w:rPr>
          <w:rFonts w:hint="eastAsia"/>
        </w:rPr>
        <w:t>》【</w:t>
      </w:r>
      <w:r>
        <w:rPr>
          <w:rFonts w:hint="eastAsia"/>
          <w:lang w:eastAsia="zh-CN"/>
        </w:rPr>
        <w:t>TYC（询）2024-014</w:t>
      </w:r>
      <w:r>
        <w:rPr>
          <w:rFonts w:hint="eastAsia"/>
        </w:rPr>
        <w:t>】采购文件，我方针对采购文件第二篇“采购项目商务要求</w:t>
      </w:r>
      <w:r>
        <w:rPr>
          <w:rFonts w:hint="eastAsia"/>
          <w:lang w:eastAsia="zh-CN"/>
        </w:rPr>
        <w:t>及技术要求</w:t>
      </w:r>
      <w:r>
        <w:rPr>
          <w:rFonts w:hint="eastAsia"/>
        </w:rPr>
        <w:t>”的内容作出应答承诺如下：我方完全同意采购文件中提出的关于采购项目的各项商务要求</w:t>
      </w:r>
      <w:r>
        <w:rPr>
          <w:rFonts w:hint="eastAsia"/>
          <w:lang w:eastAsia="zh-CN"/>
        </w:rPr>
        <w:t>要求</w:t>
      </w:r>
      <w:r>
        <w:rPr>
          <w:rFonts w:hint="eastAsia"/>
        </w:rPr>
        <w:t>。其中，我方承诺优于采购项目商务要求</w:t>
      </w:r>
      <w:r>
        <w:rPr>
          <w:rFonts w:hint="eastAsia"/>
          <w:lang w:eastAsia="zh-CN"/>
        </w:rPr>
        <w:t>要求</w:t>
      </w:r>
      <w:r>
        <w:rPr>
          <w:rFonts w:hint="eastAsia"/>
        </w:rPr>
        <w:t>的内容如下：</w:t>
      </w:r>
      <w:r>
        <w:rPr>
          <w:rFonts w:hint="eastAsia"/>
          <w:lang w:val="en-US" w:eastAsia="zh-CN"/>
        </w:rPr>
        <w:t xml:space="preserve">                               1.                                                                         2.</w:t>
      </w:r>
      <w:r>
        <w:rPr>
          <w:rFonts w:hint="eastAsia"/>
        </w:rPr>
        <w:t xml:space="preserve"> </w:t>
      </w:r>
    </w:p>
    <w:p>
      <w:pPr>
        <w:bidi w:val="0"/>
      </w:pPr>
      <w:r>
        <w:rPr>
          <w:rFonts w:hint="eastAsia"/>
        </w:rPr>
        <w:t>(如果有</w:t>
      </w:r>
      <w:r>
        <w:rPr>
          <w:rFonts w:hint="eastAsia"/>
          <w:lang w:eastAsia="zh-CN"/>
        </w:rPr>
        <w:t>，</w:t>
      </w:r>
      <w:r>
        <w:rPr>
          <w:rFonts w:hint="eastAsia"/>
        </w:rPr>
        <w:t>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jc w:val="center"/>
      </w:pPr>
      <w:bookmarkStart w:id="168" w:name="_Toc23884_WPSOffice_Level1"/>
      <w:bookmarkStart w:id="169" w:name="_Toc10046_WPSOffice_Level1"/>
      <w:bookmarkStart w:id="170" w:name="_Toc25659_WPSOffice_Level1"/>
      <w:bookmarkStart w:id="171" w:name="_Toc28085_WPSOffice_Level1"/>
      <w:bookmarkStart w:id="172" w:name="_Toc22482_WPSOffice_Level1"/>
      <w:bookmarkStart w:id="173" w:name="_Toc5060_WPSOffice_Level1"/>
      <w:bookmarkStart w:id="174" w:name="_Toc3373_WPSOffice_Level1"/>
      <w:bookmarkStart w:id="175" w:name="_Toc28023_WPSOffice_Level1"/>
      <w:bookmarkStart w:id="176" w:name="_Toc14188_WPSOffice_Level1"/>
      <w:r>
        <w:rPr>
          <w:rFonts w:hint="eastAsia"/>
          <w:sz w:val="36"/>
          <w:szCs w:val="36"/>
        </w:rPr>
        <w:t>技术要求响应/偏离表</w:t>
      </w:r>
      <w:bookmarkEnd w:id="168"/>
      <w:bookmarkEnd w:id="169"/>
      <w:bookmarkEnd w:id="170"/>
      <w:bookmarkEnd w:id="171"/>
      <w:bookmarkEnd w:id="172"/>
      <w:bookmarkEnd w:id="173"/>
      <w:bookmarkEnd w:id="174"/>
      <w:bookmarkEnd w:id="175"/>
      <w:bookmarkEnd w:id="176"/>
    </w:p>
    <w:tbl>
      <w:tblPr>
        <w:tblStyle w:val="17"/>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pPr>
              <w:bidi w:val="0"/>
              <w:rPr>
                <w:sz w:val="28"/>
                <w:szCs w:val="28"/>
              </w:rPr>
            </w:pPr>
            <w:r>
              <w:rPr>
                <w:rFonts w:hint="eastAsia"/>
                <w:sz w:val="28"/>
                <w:szCs w:val="28"/>
              </w:rPr>
              <w:t xml:space="preserve">投标人（公章）:                  </w:t>
            </w:r>
          </w:p>
        </w:tc>
        <w:tc>
          <w:tcPr>
            <w:tcW w:w="5976" w:type="dxa"/>
            <w:gridSpan w:val="3"/>
            <w:vAlign w:val="center"/>
          </w:tcPr>
          <w:p>
            <w:pPr>
              <w:bidi w:val="0"/>
              <w:rPr>
                <w:rFonts w:hint="eastAsia" w:eastAsia="仿宋"/>
                <w:sz w:val="28"/>
                <w:szCs w:val="28"/>
                <w:lang w:eastAsia="zh-CN"/>
              </w:rPr>
            </w:pPr>
            <w:r>
              <w:rPr>
                <w:rFonts w:hint="eastAsia"/>
                <w:sz w:val="28"/>
                <w:szCs w:val="28"/>
              </w:rPr>
              <w:t>项目编号:</w:t>
            </w:r>
            <w:r>
              <w:rPr>
                <w:rFonts w:hint="eastAsia"/>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pPr>
              <w:bidi w:val="0"/>
              <w:rPr>
                <w:rFonts w:hint="eastAsia" w:eastAsia="仿宋"/>
                <w:sz w:val="28"/>
                <w:szCs w:val="28"/>
                <w:lang w:val="en-US" w:eastAsia="zh-CN"/>
              </w:rPr>
            </w:pPr>
            <w:r>
              <w:rPr>
                <w:rFonts w:hint="eastAsia"/>
                <w:sz w:val="28"/>
                <w:szCs w:val="28"/>
                <w:lang w:eastAsia="zh-CN"/>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jc w:val="center"/>
              <w:rPr>
                <w:sz w:val="28"/>
                <w:szCs w:val="28"/>
              </w:rPr>
            </w:pPr>
            <w:r>
              <w:rPr>
                <w:rFonts w:hint="eastAsia"/>
                <w:sz w:val="28"/>
                <w:szCs w:val="28"/>
              </w:rPr>
              <w:t>招标规格要求</w:t>
            </w:r>
          </w:p>
        </w:tc>
        <w:tc>
          <w:tcPr>
            <w:tcW w:w="3441" w:type="dxa"/>
            <w:vAlign w:val="center"/>
          </w:tcPr>
          <w:p>
            <w:pPr>
              <w:bidi w:val="0"/>
              <w:jc w:val="center"/>
              <w:rPr>
                <w:sz w:val="28"/>
                <w:szCs w:val="28"/>
              </w:rPr>
            </w:pPr>
            <w:r>
              <w:rPr>
                <w:rFonts w:hint="eastAsia"/>
                <w:sz w:val="28"/>
                <w:szCs w:val="28"/>
              </w:rPr>
              <w:t>投标规格</w:t>
            </w:r>
          </w:p>
        </w:tc>
        <w:tc>
          <w:tcPr>
            <w:tcW w:w="1155" w:type="dxa"/>
            <w:vAlign w:val="center"/>
          </w:tcPr>
          <w:p>
            <w:pPr>
              <w:bidi w:val="0"/>
              <w:jc w:val="center"/>
              <w:rPr>
                <w:sz w:val="28"/>
                <w:szCs w:val="28"/>
              </w:rPr>
            </w:pPr>
            <w:r>
              <w:rPr>
                <w:rFonts w:hint="default"/>
                <w:sz w:val="28"/>
                <w:szCs w:val="28"/>
              </w:rPr>
              <w:t>响应情况</w:t>
            </w:r>
          </w:p>
        </w:tc>
        <w:tc>
          <w:tcPr>
            <w:tcW w:w="1380" w:type="dxa"/>
            <w:vAlign w:val="center"/>
          </w:tcPr>
          <w:p>
            <w:pPr>
              <w:bidi w:val="0"/>
              <w:jc w:val="center"/>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pPr>
              <w:widowControl/>
              <w:numPr>
                <w:ilvl w:val="0"/>
                <w:numId w:val="4"/>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p>
    <w:p>
      <w:pPr>
        <w:bidi w:val="0"/>
        <w:ind w:left="8986" w:leftChars="800" w:hanging="6746" w:hangingChars="600"/>
        <w:rPr>
          <w:rFonts w:hint="eastAsia"/>
          <w:b/>
          <w:bCs/>
        </w:rPr>
      </w:pPr>
      <w:bookmarkStart w:id="177" w:name="_Toc7586_WPSOffice_Level1"/>
      <w:bookmarkStart w:id="178" w:name="_Toc28855_WPSOffice_Level1"/>
      <w:bookmarkStart w:id="179" w:name="_Toc31517_WPSOffice_Level1"/>
      <w:bookmarkStart w:id="180" w:name="_Toc3916_WPSOffice_Level1"/>
      <w:bookmarkStart w:id="181" w:name="_Toc14860_WPSOffice_Level1"/>
      <w:bookmarkStart w:id="182" w:name="_Toc21164_WPSOffice_Level1"/>
      <w:bookmarkStart w:id="183" w:name="_Toc17336_WPSOffice_Level1"/>
      <w:bookmarkStart w:id="184" w:name="_Toc5226_WPSOffice_Level1"/>
      <w:bookmarkStart w:id="185" w:name="_Toc27840_WPSOffice_Level1"/>
      <w:bookmarkStart w:id="186" w:name="_Toc22157_WPSOffice_Level1"/>
      <w:r>
        <w:rPr>
          <w:rFonts w:hint="eastAsia"/>
          <w:b/>
          <w:bCs/>
          <w:sz w:val="112"/>
          <w:szCs w:val="112"/>
        </w:rPr>
        <w:t xml:space="preserve">投 标 文 </w:t>
      </w:r>
      <w:r>
        <w:rPr>
          <w:rFonts w:hint="eastAsia"/>
          <w:b/>
          <w:bCs/>
          <w:sz w:val="112"/>
          <w:szCs w:val="112"/>
          <w:lang w:eastAsia="zh-CN"/>
        </w:rPr>
        <w:t>件</w:t>
      </w:r>
      <w:bookmarkEnd w:id="177"/>
      <w:bookmarkEnd w:id="178"/>
      <w:bookmarkEnd w:id="179"/>
      <w:bookmarkEnd w:id="180"/>
      <w:bookmarkEnd w:id="181"/>
      <w:bookmarkEnd w:id="182"/>
      <w:bookmarkEnd w:id="183"/>
      <w:bookmarkEnd w:id="184"/>
      <w:bookmarkEnd w:id="185"/>
      <w:bookmarkEnd w:id="186"/>
      <w:r>
        <w:rPr>
          <w:rFonts w:hint="eastAsia"/>
          <w:b/>
          <w:bCs/>
          <w:sz w:val="112"/>
          <w:szCs w:val="112"/>
          <w:lang w:val="en-US" w:eastAsia="zh-CN"/>
        </w:rPr>
        <w:t xml:space="preserve"> </w:t>
      </w:r>
      <w:r>
        <w:rPr>
          <w:rFonts w:hint="eastAsia"/>
          <w:b/>
          <w:bCs/>
          <w:lang w:val="en-US" w:eastAsia="zh-CN"/>
        </w:rPr>
        <w:t xml:space="preserve">                                                                                        </w:t>
      </w: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361" w:firstLineChars="100"/>
        <w:rPr>
          <w:rFonts w:hint="eastAsia"/>
          <w:b/>
          <w:bCs/>
          <w:sz w:val="36"/>
          <w:szCs w:val="36"/>
          <w:lang w:eastAsia="zh-CN"/>
        </w:rPr>
      </w:pPr>
      <w:bookmarkStart w:id="187" w:name="_Toc26265_WPSOffice_Level1"/>
      <w:bookmarkStart w:id="188" w:name="_Toc28184_WPSOffice_Level1"/>
      <w:bookmarkStart w:id="189" w:name="_Toc5931_WPSOffice_Level1"/>
      <w:bookmarkStart w:id="190" w:name="_Toc3406_WPSOffice_Level1"/>
      <w:bookmarkStart w:id="191" w:name="_Toc24602_WPSOffice_Level1"/>
      <w:bookmarkStart w:id="192" w:name="_Toc4599_WPSOffice_Level1"/>
      <w:bookmarkStart w:id="193" w:name="_Toc8732_WPSOffice_Level1"/>
      <w:bookmarkStart w:id="194" w:name="_Toc31932_WPSOffice_Level1"/>
      <w:bookmarkStart w:id="195" w:name="_Toc28522_WPSOffice_Level1"/>
      <w:bookmarkStart w:id="196" w:name="_Toc3317_WPSOffice_Level1"/>
      <w:r>
        <w:rPr>
          <w:rFonts w:hint="eastAsia"/>
          <w:b/>
          <w:bCs/>
          <w:sz w:val="36"/>
          <w:szCs w:val="36"/>
          <w:lang w:eastAsia="zh-CN"/>
        </w:rPr>
        <w:t>经济标</w:t>
      </w:r>
      <w:r>
        <w:rPr>
          <w:rFonts w:hint="eastAsia"/>
          <w:b/>
          <w:bCs/>
          <w:sz w:val="36"/>
          <w:szCs w:val="36"/>
          <w:lang w:val="en-US" w:eastAsia="zh-CN"/>
        </w:rPr>
        <w:t xml:space="preserve">                                    </w:t>
      </w:r>
      <w:r>
        <w:rPr>
          <w:rFonts w:hint="eastAsia"/>
          <w:b/>
          <w:bCs/>
          <w:sz w:val="36"/>
          <w:szCs w:val="36"/>
        </w:rPr>
        <w:t>（正/副本）</w:t>
      </w:r>
      <w:bookmarkEnd w:id="187"/>
      <w:bookmarkEnd w:id="188"/>
      <w:bookmarkEnd w:id="189"/>
      <w:bookmarkEnd w:id="190"/>
      <w:bookmarkEnd w:id="191"/>
      <w:bookmarkEnd w:id="192"/>
      <w:bookmarkEnd w:id="193"/>
      <w:bookmarkEnd w:id="194"/>
      <w:bookmarkEnd w:id="195"/>
      <w:bookmarkEnd w:id="196"/>
      <w:r>
        <w:rPr>
          <w:rFonts w:hint="eastAsia"/>
          <w:b/>
          <w:bCs/>
          <w:sz w:val="36"/>
          <w:szCs w:val="36"/>
          <w:lang w:val="en-US" w:eastAsia="zh-CN"/>
        </w:rPr>
        <w:t xml:space="preserve">                                                                                                                    </w:t>
      </w: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firstLine="723" w:firstLineChars="200"/>
        <w:rPr>
          <w:rFonts w:hint="eastAsia"/>
          <w:b/>
          <w:bCs/>
          <w:sz w:val="36"/>
          <w:szCs w:val="36"/>
        </w:rPr>
      </w:pPr>
      <w:bookmarkStart w:id="197" w:name="_Toc24924_WPSOffice_Level1"/>
      <w:bookmarkStart w:id="198" w:name="_Toc17125_WPSOffice_Level1"/>
      <w:bookmarkStart w:id="199" w:name="_Toc29131_WPSOffice_Level1"/>
      <w:bookmarkStart w:id="200" w:name="_Toc10147_WPSOffice_Level1"/>
      <w:bookmarkStart w:id="201" w:name="_Toc15008_WPSOffice_Level1"/>
      <w:bookmarkStart w:id="202" w:name="_Toc20016_WPSOffice_Level1"/>
      <w:bookmarkStart w:id="203" w:name="_Toc27724_WPSOffice_Level1"/>
      <w:bookmarkStart w:id="204" w:name="_Toc18738_WPSOffice_Level1"/>
      <w:bookmarkStart w:id="205" w:name="_Toc18335_WPSOffice_Level1"/>
      <w:bookmarkStart w:id="206" w:name="_Toc32356_WPSOffice_Level1"/>
      <w:r>
        <w:rPr>
          <w:rFonts w:hint="eastAsia"/>
          <w:b/>
          <w:bCs/>
          <w:sz w:val="36"/>
          <w:szCs w:val="36"/>
        </w:rPr>
        <w:t>项目编号:</w:t>
      </w:r>
      <w:bookmarkEnd w:id="197"/>
      <w:bookmarkEnd w:id="198"/>
      <w:bookmarkEnd w:id="199"/>
      <w:bookmarkEnd w:id="200"/>
      <w:bookmarkEnd w:id="201"/>
      <w:bookmarkEnd w:id="202"/>
      <w:bookmarkEnd w:id="203"/>
      <w:bookmarkEnd w:id="204"/>
      <w:bookmarkEnd w:id="205"/>
      <w:bookmarkEnd w:id="206"/>
      <w:r>
        <w:rPr>
          <w:rFonts w:hint="eastAsia"/>
          <w:b/>
          <w:bCs/>
          <w:sz w:val="36"/>
          <w:szCs w:val="36"/>
        </w:rPr>
        <w:t xml:space="preserve">               </w:t>
      </w:r>
    </w:p>
    <w:p>
      <w:pPr>
        <w:bidi w:val="0"/>
        <w:ind w:firstLine="723" w:firstLineChars="200"/>
        <w:rPr>
          <w:rFonts w:hint="eastAsia"/>
          <w:b/>
          <w:bCs/>
          <w:sz w:val="36"/>
          <w:szCs w:val="36"/>
        </w:rPr>
      </w:pPr>
      <w:bookmarkStart w:id="207" w:name="_Toc20191_WPSOffice_Level1"/>
      <w:bookmarkStart w:id="208" w:name="_Toc13551_WPSOffice_Level1"/>
      <w:bookmarkStart w:id="209" w:name="_Toc24374_WPSOffice_Level1"/>
      <w:bookmarkStart w:id="210" w:name="_Toc7036_WPSOffice_Level1"/>
      <w:bookmarkStart w:id="211" w:name="_Toc6793_WPSOffice_Level1"/>
      <w:bookmarkStart w:id="212" w:name="_Toc19650_WPSOffice_Level1"/>
      <w:bookmarkStart w:id="213" w:name="_Toc30533_WPSOffice_Level1"/>
      <w:bookmarkStart w:id="214" w:name="_Toc6338_WPSOffice_Level1"/>
      <w:bookmarkStart w:id="215" w:name="_Toc31890_WPSOffice_Level1"/>
      <w:bookmarkStart w:id="216" w:name="_Toc29718_WPSOffice_Level1"/>
      <w:r>
        <w:rPr>
          <w:rFonts w:hint="eastAsia"/>
          <w:b/>
          <w:bCs/>
          <w:sz w:val="36"/>
          <w:szCs w:val="36"/>
        </w:rPr>
        <w:t>项目名称：</w:t>
      </w:r>
      <w:bookmarkEnd w:id="207"/>
      <w:bookmarkEnd w:id="208"/>
      <w:bookmarkEnd w:id="209"/>
      <w:bookmarkEnd w:id="210"/>
      <w:bookmarkEnd w:id="211"/>
      <w:bookmarkEnd w:id="212"/>
      <w:bookmarkEnd w:id="213"/>
      <w:bookmarkEnd w:id="214"/>
      <w:bookmarkEnd w:id="215"/>
      <w:bookmarkEnd w:id="216"/>
    </w:p>
    <w:p>
      <w:pPr>
        <w:bidi w:val="0"/>
        <w:ind w:firstLine="723" w:firstLineChars="200"/>
        <w:rPr>
          <w:rFonts w:hint="eastAsia"/>
          <w:b/>
          <w:bCs/>
          <w:lang w:eastAsia="zh-CN"/>
        </w:rPr>
      </w:pPr>
      <w:bookmarkStart w:id="217" w:name="_Toc24610_WPSOffice_Level1"/>
      <w:bookmarkStart w:id="218" w:name="_Toc18448_WPSOffice_Level1"/>
      <w:bookmarkStart w:id="219" w:name="_Toc4651_WPSOffice_Level1"/>
      <w:bookmarkStart w:id="220" w:name="_Toc25071_WPSOffice_Level1"/>
      <w:bookmarkStart w:id="221" w:name="_Toc6059_WPSOffice_Level1"/>
      <w:bookmarkStart w:id="222" w:name="_Toc4059_WPSOffice_Level1"/>
      <w:bookmarkStart w:id="223" w:name="_Toc29844_WPSOffice_Level1"/>
      <w:bookmarkStart w:id="224" w:name="_Toc8505_WPSOffice_Level1"/>
      <w:bookmarkStart w:id="225" w:name="_Toc29035_WPSOffice_Level1"/>
      <w:bookmarkStart w:id="226" w:name="_Toc13757_WPSOffice_Level1"/>
      <w:r>
        <w:rPr>
          <w:rFonts w:hint="eastAsia"/>
          <w:b/>
          <w:bCs/>
          <w:sz w:val="36"/>
          <w:szCs w:val="36"/>
        </w:rPr>
        <w:t>投标单位：</w:t>
      </w:r>
      <w:bookmarkEnd w:id="217"/>
      <w:bookmarkEnd w:id="218"/>
      <w:bookmarkEnd w:id="219"/>
      <w:bookmarkEnd w:id="220"/>
      <w:bookmarkEnd w:id="221"/>
      <w:bookmarkEnd w:id="222"/>
      <w:bookmarkEnd w:id="223"/>
      <w:bookmarkEnd w:id="224"/>
      <w:bookmarkEnd w:id="225"/>
      <w:bookmarkEnd w:id="226"/>
      <w:r>
        <w:rPr>
          <w:rFonts w:hint="eastAsia"/>
          <w:b/>
          <w:bCs/>
          <w:sz w:val="36"/>
          <w:szCs w:val="36"/>
          <w:lang w:eastAsia="zh-CN"/>
        </w:rPr>
        <w:br w:type="page"/>
      </w:r>
    </w:p>
    <w:p>
      <w:pPr>
        <w:bidi w:val="0"/>
        <w:ind w:left="1120" w:leftChars="200" w:hanging="560" w:hangingChars="2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7951" w:firstLineChars="2200"/>
        <w:rPr>
          <w:rFonts w:hint="eastAsia"/>
          <w:b/>
          <w:bCs/>
          <w:sz w:val="36"/>
          <w:szCs w:val="36"/>
        </w:rPr>
      </w:pPr>
      <w:bookmarkStart w:id="227" w:name="_Toc17560_WPSOffice_Level1"/>
      <w:bookmarkStart w:id="228" w:name="_Toc19122_WPSOffice_Level1"/>
      <w:bookmarkStart w:id="229" w:name="_Toc27444_WPSOffice_Level1"/>
      <w:bookmarkStart w:id="230" w:name="_Toc2743_WPSOffice_Level1"/>
      <w:bookmarkStart w:id="231" w:name="_Toc21714_WPSOffice_Level1"/>
      <w:bookmarkStart w:id="232" w:name="_Toc28064_WPSOffice_Level1"/>
      <w:bookmarkStart w:id="233" w:name="_Toc8948_WPSOffice_Level1"/>
      <w:bookmarkStart w:id="234" w:name="_Toc22882_WPSOffice_Level1"/>
      <w:bookmarkStart w:id="235" w:name="_Toc30386_WPSOffice_Level1"/>
      <w:bookmarkStart w:id="236" w:name="_Toc14490_WPSOffice_Level1"/>
      <w:r>
        <w:rPr>
          <w:rFonts w:hint="eastAsia"/>
          <w:b/>
          <w:bCs/>
          <w:sz w:val="36"/>
          <w:szCs w:val="36"/>
          <w:lang w:eastAsia="zh-CN"/>
        </w:rPr>
        <w:t>商商务技术标</w:t>
      </w:r>
      <w:r>
        <w:rPr>
          <w:rFonts w:hint="eastAsia"/>
          <w:b/>
          <w:bCs/>
          <w:sz w:val="36"/>
          <w:szCs w:val="36"/>
          <w:lang w:val="en-US" w:eastAsia="zh-CN"/>
        </w:rPr>
        <w:t xml:space="preserve">                                    </w:t>
      </w:r>
      <w:r>
        <w:rPr>
          <w:rFonts w:hint="eastAsia"/>
          <w:b/>
          <w:bCs/>
          <w:sz w:val="36"/>
          <w:szCs w:val="36"/>
        </w:rPr>
        <w:t>（正/副本）</w:t>
      </w:r>
      <w:bookmarkEnd w:id="227"/>
      <w:bookmarkEnd w:id="228"/>
      <w:bookmarkEnd w:id="229"/>
      <w:bookmarkEnd w:id="230"/>
      <w:bookmarkEnd w:id="231"/>
      <w:bookmarkEnd w:id="232"/>
      <w:bookmarkEnd w:id="233"/>
      <w:bookmarkEnd w:id="234"/>
      <w:bookmarkEnd w:id="235"/>
      <w:bookmarkEnd w:id="236"/>
      <w:r>
        <w:rPr>
          <w:rFonts w:hint="eastAsia"/>
          <w:b/>
          <w:bCs/>
          <w:sz w:val="36"/>
          <w:szCs w:val="36"/>
          <w:lang w:val="en-US" w:eastAsia="zh-CN"/>
        </w:rPr>
        <w:t xml:space="preserve"> </w:t>
      </w:r>
    </w:p>
    <w:p>
      <w:pPr>
        <w:bidi w:val="0"/>
        <w:ind w:left="3360" w:leftChars="1200" w:firstLine="361" w:firstLineChars="100"/>
        <w:rPr>
          <w:rFonts w:hint="default"/>
          <w:b/>
          <w:bCs/>
          <w:sz w:val="36"/>
          <w:szCs w:val="36"/>
          <w:lang w:val="en-US" w:eastAsia="zh-CN"/>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bookmarkStart w:id="237" w:name="_Toc26123_WPSOffice_Level1"/>
      <w:bookmarkStart w:id="238" w:name="_Toc19830_WPSOffice_Level1"/>
      <w:bookmarkStart w:id="239" w:name="_Toc12594_WPSOffice_Level1"/>
      <w:bookmarkStart w:id="240" w:name="_Toc22567_WPSOffice_Level1"/>
      <w:bookmarkStart w:id="241" w:name="_Toc28496_WPSOffice_Level1"/>
      <w:bookmarkStart w:id="242" w:name="_Toc7957_WPSOffice_Level1"/>
      <w:bookmarkStart w:id="243" w:name="_Toc8035_WPSOffice_Level1"/>
      <w:bookmarkStart w:id="244" w:name="_Toc10526_WPSOffice_Level1"/>
      <w:bookmarkStart w:id="245" w:name="_Toc26801_WPSOffice_Level1"/>
      <w:bookmarkStart w:id="246" w:name="_Toc20792_WPSOffice_Level1"/>
      <w:r>
        <w:rPr>
          <w:rFonts w:hint="eastAsia"/>
          <w:b/>
          <w:bCs/>
          <w:sz w:val="36"/>
          <w:szCs w:val="36"/>
        </w:rPr>
        <w:t>项目编号:</w:t>
      </w:r>
      <w:bookmarkEnd w:id="237"/>
      <w:bookmarkEnd w:id="238"/>
      <w:bookmarkEnd w:id="239"/>
      <w:bookmarkEnd w:id="240"/>
      <w:bookmarkEnd w:id="241"/>
      <w:bookmarkEnd w:id="242"/>
      <w:bookmarkEnd w:id="243"/>
      <w:bookmarkEnd w:id="244"/>
      <w:bookmarkEnd w:id="245"/>
      <w:bookmarkEnd w:id="246"/>
      <w:r>
        <w:rPr>
          <w:rFonts w:hint="eastAsia"/>
          <w:b/>
          <w:bCs/>
          <w:sz w:val="36"/>
          <w:szCs w:val="36"/>
        </w:rPr>
        <w:t xml:space="preserve">               </w:t>
      </w:r>
    </w:p>
    <w:p>
      <w:pPr>
        <w:bidi w:val="0"/>
        <w:ind w:firstLine="723" w:firstLineChars="200"/>
        <w:rPr>
          <w:rFonts w:hint="eastAsia"/>
          <w:b/>
          <w:bCs/>
          <w:sz w:val="36"/>
          <w:szCs w:val="36"/>
        </w:rPr>
      </w:pPr>
      <w:bookmarkStart w:id="247" w:name="_Toc10890_WPSOffice_Level1"/>
      <w:bookmarkStart w:id="248" w:name="_Toc9337_WPSOffice_Level1"/>
      <w:bookmarkStart w:id="249" w:name="_Toc25178_WPSOffice_Level1"/>
      <w:bookmarkStart w:id="250" w:name="_Toc8679_WPSOffice_Level1"/>
      <w:bookmarkStart w:id="251" w:name="_Toc8030_WPSOffice_Level1"/>
      <w:bookmarkStart w:id="252" w:name="_Toc7168_WPSOffice_Level1"/>
      <w:bookmarkStart w:id="253" w:name="_Toc24641_WPSOffice_Level1"/>
      <w:bookmarkStart w:id="254" w:name="_Toc25354_WPSOffice_Level1"/>
      <w:bookmarkStart w:id="255" w:name="_Toc28268_WPSOffice_Level1"/>
      <w:bookmarkStart w:id="256" w:name="_Toc1551_WPSOffice_Level1"/>
      <w:r>
        <w:rPr>
          <w:rFonts w:hint="eastAsia"/>
          <w:b/>
          <w:bCs/>
          <w:sz w:val="36"/>
          <w:szCs w:val="36"/>
        </w:rPr>
        <w:t>项目名称：</w:t>
      </w:r>
      <w:bookmarkEnd w:id="247"/>
      <w:bookmarkEnd w:id="248"/>
      <w:bookmarkEnd w:id="249"/>
      <w:bookmarkEnd w:id="250"/>
      <w:bookmarkEnd w:id="251"/>
      <w:bookmarkEnd w:id="252"/>
      <w:bookmarkEnd w:id="253"/>
      <w:bookmarkEnd w:id="254"/>
      <w:bookmarkEnd w:id="255"/>
      <w:bookmarkEnd w:id="256"/>
    </w:p>
    <w:p>
      <w:pPr>
        <w:bidi w:val="0"/>
        <w:ind w:firstLine="723" w:firstLineChars="200"/>
        <w:rPr>
          <w:rFonts w:hint="eastAsia"/>
          <w:b/>
          <w:bCs/>
          <w:sz w:val="36"/>
          <w:szCs w:val="36"/>
        </w:rPr>
      </w:pPr>
      <w:bookmarkStart w:id="257" w:name="_Toc25276_WPSOffice_Level1"/>
      <w:bookmarkStart w:id="258" w:name="_Toc4185_WPSOffice_Level1"/>
      <w:bookmarkStart w:id="259" w:name="_Toc2062_WPSOffice_Level1"/>
      <w:bookmarkStart w:id="260" w:name="_Toc18059_WPSOffice_Level1"/>
      <w:bookmarkStart w:id="261" w:name="_Toc22551_WPSOffice_Level1"/>
      <w:bookmarkStart w:id="262" w:name="_Toc30668_WPSOffice_Level1"/>
      <w:bookmarkStart w:id="263" w:name="_Toc24517_WPSOffice_Level1"/>
      <w:bookmarkStart w:id="264" w:name="_Toc3878_WPSOffice_Level1"/>
      <w:bookmarkStart w:id="265" w:name="_Toc22183_WPSOffice_Level1"/>
      <w:bookmarkStart w:id="266" w:name="_Toc5262_WPSOffice_Level1"/>
      <w:r>
        <w:rPr>
          <w:rFonts w:hint="eastAsia"/>
          <w:b/>
          <w:bCs/>
          <w:sz w:val="36"/>
          <w:szCs w:val="36"/>
        </w:rPr>
        <w:t>投标单位：</w:t>
      </w:r>
      <w:bookmarkEnd w:id="257"/>
      <w:bookmarkEnd w:id="258"/>
      <w:bookmarkEnd w:id="259"/>
      <w:bookmarkEnd w:id="260"/>
      <w:bookmarkEnd w:id="261"/>
      <w:bookmarkEnd w:id="262"/>
      <w:bookmarkEnd w:id="263"/>
      <w:bookmarkEnd w:id="264"/>
      <w:bookmarkEnd w:id="265"/>
      <w:bookmarkEnd w:id="266"/>
      <w:r>
        <w:rPr>
          <w:rFonts w:hint="eastAsia"/>
          <w:b/>
          <w:bCs/>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10"/>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D23AD"/>
    <w:multiLevelType w:val="singleLevel"/>
    <w:tmpl w:val="DDDD23AD"/>
    <w:lvl w:ilvl="0" w:tentative="0">
      <w:start w:val="2"/>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2">
    <w:nsid w:val="3825016D"/>
    <w:multiLevelType w:val="singleLevel"/>
    <w:tmpl w:val="3825016D"/>
    <w:lvl w:ilvl="0" w:tentative="0">
      <w:start w:val="1"/>
      <w:numFmt w:val="decimal"/>
      <w:lvlText w:val="%1."/>
      <w:lvlJc w:val="left"/>
      <w:pPr>
        <w:tabs>
          <w:tab w:val="left" w:pos="312"/>
        </w:tabs>
      </w:pPr>
    </w:lvl>
  </w:abstractNum>
  <w:abstractNum w:abstractNumId="3">
    <w:nsid w:val="5F1A237F"/>
    <w:multiLevelType w:val="singleLevel"/>
    <w:tmpl w:val="5F1A237F"/>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60F0C94"/>
    <w:rsid w:val="065366C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A60085"/>
    <w:rsid w:val="0EB66663"/>
    <w:rsid w:val="0F9B4EF3"/>
    <w:rsid w:val="0FE60E94"/>
    <w:rsid w:val="101F6A47"/>
    <w:rsid w:val="10845CC2"/>
    <w:rsid w:val="114408D6"/>
    <w:rsid w:val="119806E1"/>
    <w:rsid w:val="12143D4D"/>
    <w:rsid w:val="12C51F3F"/>
    <w:rsid w:val="13025CC8"/>
    <w:rsid w:val="134F005D"/>
    <w:rsid w:val="14410F20"/>
    <w:rsid w:val="14BB6B21"/>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1427122"/>
    <w:rsid w:val="216743A8"/>
    <w:rsid w:val="216948B6"/>
    <w:rsid w:val="21D2041D"/>
    <w:rsid w:val="223F3C33"/>
    <w:rsid w:val="22D41753"/>
    <w:rsid w:val="232B7240"/>
    <w:rsid w:val="239205B0"/>
    <w:rsid w:val="23AA1A4B"/>
    <w:rsid w:val="23DC5FE7"/>
    <w:rsid w:val="2488402E"/>
    <w:rsid w:val="2587525C"/>
    <w:rsid w:val="26306655"/>
    <w:rsid w:val="2681368A"/>
    <w:rsid w:val="27F746E7"/>
    <w:rsid w:val="285D73B3"/>
    <w:rsid w:val="286A790B"/>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F744C02"/>
    <w:rsid w:val="310E4C7B"/>
    <w:rsid w:val="31B90149"/>
    <w:rsid w:val="31E715FC"/>
    <w:rsid w:val="3258415E"/>
    <w:rsid w:val="340B00EB"/>
    <w:rsid w:val="34DE456D"/>
    <w:rsid w:val="34E44905"/>
    <w:rsid w:val="352670FF"/>
    <w:rsid w:val="35805AD0"/>
    <w:rsid w:val="36103408"/>
    <w:rsid w:val="362D7893"/>
    <w:rsid w:val="3664201C"/>
    <w:rsid w:val="36E026E6"/>
    <w:rsid w:val="370C255A"/>
    <w:rsid w:val="37651003"/>
    <w:rsid w:val="37853D1B"/>
    <w:rsid w:val="37D958F4"/>
    <w:rsid w:val="388970D0"/>
    <w:rsid w:val="38936FC1"/>
    <w:rsid w:val="397D0197"/>
    <w:rsid w:val="3B90403E"/>
    <w:rsid w:val="3C392EC2"/>
    <w:rsid w:val="3C91665F"/>
    <w:rsid w:val="3CD220ED"/>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3B0D6D"/>
    <w:rsid w:val="515E223D"/>
    <w:rsid w:val="518C2DF2"/>
    <w:rsid w:val="51AD1B2A"/>
    <w:rsid w:val="523C25F9"/>
    <w:rsid w:val="52523ED6"/>
    <w:rsid w:val="52A61DB8"/>
    <w:rsid w:val="52B84408"/>
    <w:rsid w:val="539B1BE0"/>
    <w:rsid w:val="53AB7175"/>
    <w:rsid w:val="54652463"/>
    <w:rsid w:val="547D2C9B"/>
    <w:rsid w:val="550132F8"/>
    <w:rsid w:val="55175C8A"/>
    <w:rsid w:val="55F048E8"/>
    <w:rsid w:val="56815419"/>
    <w:rsid w:val="580809AA"/>
    <w:rsid w:val="5821709C"/>
    <w:rsid w:val="582C3D67"/>
    <w:rsid w:val="589C4ED4"/>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641ABA"/>
    <w:rsid w:val="651836DA"/>
    <w:rsid w:val="65805039"/>
    <w:rsid w:val="6588658C"/>
    <w:rsid w:val="65B923AD"/>
    <w:rsid w:val="65F1358A"/>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C842C7"/>
    <w:rsid w:val="6A175882"/>
    <w:rsid w:val="6A5F6F62"/>
    <w:rsid w:val="6B29790C"/>
    <w:rsid w:val="6B4C6288"/>
    <w:rsid w:val="6B785036"/>
    <w:rsid w:val="6BA945DB"/>
    <w:rsid w:val="6BB12C30"/>
    <w:rsid w:val="6BBA715D"/>
    <w:rsid w:val="6C5238E7"/>
    <w:rsid w:val="6C770F56"/>
    <w:rsid w:val="6CDF3E59"/>
    <w:rsid w:val="6D552519"/>
    <w:rsid w:val="6D9401E3"/>
    <w:rsid w:val="6F4E36C0"/>
    <w:rsid w:val="703D430A"/>
    <w:rsid w:val="70835874"/>
    <w:rsid w:val="70D204D8"/>
    <w:rsid w:val="71135217"/>
    <w:rsid w:val="711A56D3"/>
    <w:rsid w:val="721415EB"/>
    <w:rsid w:val="721F4E2A"/>
    <w:rsid w:val="725B7E61"/>
    <w:rsid w:val="725C06D2"/>
    <w:rsid w:val="72670048"/>
    <w:rsid w:val="72BE35C0"/>
    <w:rsid w:val="76234842"/>
    <w:rsid w:val="762379B1"/>
    <w:rsid w:val="76312C4C"/>
    <w:rsid w:val="7640560B"/>
    <w:rsid w:val="768878C3"/>
    <w:rsid w:val="76BE4E1E"/>
    <w:rsid w:val="76BF6198"/>
    <w:rsid w:val="773B1C2B"/>
    <w:rsid w:val="77806F3F"/>
    <w:rsid w:val="77D26A58"/>
    <w:rsid w:val="781A3051"/>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22"/>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9">
    <w:name w:val="Default Paragraph Font"/>
    <w:link w:val="20"/>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6">
    <w:name w:val="Normal Indent"/>
    <w:basedOn w:val="1"/>
    <w:autoRedefine/>
    <w:qFormat/>
    <w:uiPriority w:val="0"/>
    <w:pPr>
      <w:ind w:firstLine="420" w:firstLineChars="200"/>
    </w:pPr>
  </w:style>
  <w:style w:type="paragraph" w:styleId="7">
    <w:name w:val="Body Text"/>
    <w:basedOn w:val="1"/>
    <w:next w:val="1"/>
    <w:autoRedefine/>
    <w:qFormat/>
    <w:uiPriority w:val="1"/>
    <w:pPr>
      <w:spacing w:before="150"/>
      <w:ind w:left="120"/>
    </w:pPr>
    <w:rPr>
      <w:sz w:val="24"/>
      <w:szCs w:val="24"/>
    </w:rPr>
  </w:style>
  <w:style w:type="paragraph" w:styleId="8">
    <w:name w:val="Body Text Indent"/>
    <w:basedOn w:val="1"/>
    <w:autoRedefine/>
    <w:qFormat/>
    <w:uiPriority w:val="0"/>
    <w:pPr>
      <w:spacing w:after="120"/>
      <w:ind w:left="200" w:leftChars="200"/>
    </w:pPr>
    <w:rPr>
      <w:rFonts w:ascii="Times New Roman" w:hAnsi="Times New Roman"/>
      <w:sz w:val="28"/>
      <w:szCs w:val="20"/>
    </w:rPr>
  </w:style>
  <w:style w:type="paragraph" w:styleId="9">
    <w:name w:val="Balloon Text"/>
    <w:basedOn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4">
    <w:name w:val="toc 2"/>
    <w:basedOn w:val="1"/>
    <w:next w:val="1"/>
    <w:autoRedefine/>
    <w:unhideWhenUsed/>
    <w:qFormat/>
    <w:uiPriority w:val="39"/>
    <w:pPr>
      <w:ind w:left="420" w:leftChars="200"/>
    </w:pPr>
  </w:style>
  <w:style w:type="paragraph" w:styleId="15">
    <w:name w:val="Body Text First Indent"/>
    <w:basedOn w:val="7"/>
    <w:autoRedefine/>
    <w:qFormat/>
    <w:uiPriority w:val="0"/>
    <w:pPr>
      <w:ind w:firstLine="420" w:firstLineChars="100"/>
    </w:pPr>
  </w:style>
  <w:style w:type="paragraph" w:styleId="16">
    <w:name w:val="Body Text First Indent 2"/>
    <w:basedOn w:val="8"/>
    <w:autoRedefine/>
    <w:unhideWhenUsed/>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w:basedOn w:val="1"/>
    <w:link w:val="19"/>
    <w:autoRedefine/>
    <w:qFormat/>
    <w:uiPriority w:val="0"/>
  </w:style>
  <w:style w:type="character" w:styleId="21">
    <w:name w:val="Hyperlink"/>
    <w:basedOn w:val="19"/>
    <w:autoRedefine/>
    <w:qFormat/>
    <w:uiPriority w:val="99"/>
    <w:rPr>
      <w:color w:val="0000FF"/>
      <w:u w:val="single"/>
    </w:rPr>
  </w:style>
  <w:style w:type="character" w:customStyle="1" w:styleId="22">
    <w:name w:val="标题 1 Char"/>
    <w:basedOn w:val="19"/>
    <w:link w:val="3"/>
    <w:autoRedefine/>
    <w:qFormat/>
    <w:uiPriority w:val="0"/>
    <w:rPr>
      <w:rFonts w:ascii="Times New Roman" w:hAnsi="Times New Roman" w:eastAsia="仿宋"/>
      <w:b/>
      <w:bCs/>
      <w:kern w:val="44"/>
      <w:sz w:val="44"/>
      <w:szCs w:val="44"/>
    </w:rPr>
  </w:style>
  <w:style w:type="character" w:customStyle="1" w:styleId="23">
    <w:name w:val="font01"/>
    <w:basedOn w:val="19"/>
    <w:autoRedefine/>
    <w:qFormat/>
    <w:uiPriority w:val="0"/>
    <w:rPr>
      <w:rFonts w:hint="eastAsia" w:ascii="宋体" w:hAnsi="宋体" w:eastAsia="宋体" w:cs="宋体"/>
      <w:color w:val="000000"/>
      <w:sz w:val="24"/>
      <w:szCs w:val="24"/>
      <w:u w:val="single"/>
    </w:rPr>
  </w:style>
  <w:style w:type="character" w:customStyle="1" w:styleId="24">
    <w:name w:val="font31"/>
    <w:basedOn w:val="19"/>
    <w:autoRedefine/>
    <w:qFormat/>
    <w:uiPriority w:val="0"/>
    <w:rPr>
      <w:rFonts w:hint="eastAsia" w:ascii="宋体" w:hAnsi="宋体" w:eastAsia="宋体" w:cs="宋体"/>
      <w:color w:val="000000"/>
      <w:sz w:val="18"/>
      <w:szCs w:val="18"/>
      <w:u w:val="none"/>
    </w:rPr>
  </w:style>
  <w:style w:type="character" w:customStyle="1" w:styleId="25">
    <w:name w:val="font41"/>
    <w:basedOn w:val="19"/>
    <w:autoRedefine/>
    <w:qFormat/>
    <w:uiPriority w:val="0"/>
    <w:rPr>
      <w:rFonts w:hint="eastAsia" w:ascii="宋体" w:hAnsi="宋体" w:eastAsia="宋体" w:cs="宋体"/>
      <w:b/>
      <w:color w:val="000000"/>
      <w:sz w:val="20"/>
      <w:szCs w:val="20"/>
      <w:u w:val="none"/>
    </w:rPr>
  </w:style>
  <w:style w:type="character" w:customStyle="1" w:styleId="26">
    <w:name w:val="font71"/>
    <w:basedOn w:val="19"/>
    <w:autoRedefine/>
    <w:qFormat/>
    <w:uiPriority w:val="0"/>
    <w:rPr>
      <w:rFonts w:ascii="Calibri" w:hAnsi="Calibri" w:cs="Calibri"/>
      <w:b/>
      <w:color w:val="000000"/>
      <w:sz w:val="20"/>
      <w:szCs w:val="20"/>
      <w:u w:val="none"/>
    </w:rPr>
  </w:style>
  <w:style w:type="character" w:customStyle="1" w:styleId="27">
    <w:name w:val="font61"/>
    <w:basedOn w:val="19"/>
    <w:autoRedefine/>
    <w:qFormat/>
    <w:uiPriority w:val="0"/>
    <w:rPr>
      <w:rFonts w:hint="default" w:ascii="Helv" w:hAnsi="Helv" w:eastAsia="Helv" w:cs="Helv"/>
      <w:color w:val="000000"/>
      <w:sz w:val="18"/>
      <w:szCs w:val="18"/>
      <w:u w:val="none"/>
    </w:rPr>
  </w:style>
  <w:style w:type="character" w:customStyle="1" w:styleId="28">
    <w:name w:val="font11"/>
    <w:basedOn w:val="19"/>
    <w:autoRedefine/>
    <w:qFormat/>
    <w:uiPriority w:val="0"/>
    <w:rPr>
      <w:rFonts w:hint="eastAsia" w:ascii="宋体" w:hAnsi="宋体" w:eastAsia="宋体" w:cs="宋体"/>
      <w:color w:val="000000"/>
      <w:sz w:val="18"/>
      <w:szCs w:val="18"/>
      <w:u w:val="none"/>
      <w:vertAlign w:val="subscript"/>
    </w:rPr>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页码1"/>
    <w:basedOn w:val="19"/>
    <w:autoRedefine/>
    <w:qFormat/>
    <w:uiPriority w:val="0"/>
  </w:style>
  <w:style w:type="paragraph" w:customStyle="1" w:styleId="31">
    <w:name w:val="Char Char1 Char Char Char Char Char Char Char"/>
    <w:basedOn w:val="1"/>
    <w:autoRedefine/>
    <w:qFormat/>
    <w:uiPriority w:val="0"/>
    <w:pPr>
      <w:pageBreakBefore/>
    </w:p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正文文本 31"/>
    <w:basedOn w:val="1"/>
    <w:autoRedefine/>
    <w:qFormat/>
    <w:uiPriority w:val="0"/>
    <w:pPr>
      <w:spacing w:after="120"/>
    </w:pPr>
    <w:rPr>
      <w:sz w:val="16"/>
      <w:szCs w:val="16"/>
    </w:rPr>
  </w:style>
  <w:style w:type="paragraph" w:customStyle="1" w:styleId="34">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autoRedefine/>
    <w:qFormat/>
    <w:uiPriority w:val="0"/>
    <w:pPr>
      <w:ind w:firstLine="420" w:firstLineChars="200"/>
    </w:pPr>
  </w:style>
  <w:style w:type="paragraph" w:customStyle="1" w:styleId="36">
    <w:name w:val="列出段落11"/>
    <w:basedOn w:val="1"/>
    <w:autoRedefine/>
    <w:qFormat/>
    <w:uiPriority w:val="0"/>
    <w:pPr>
      <w:ind w:firstLine="420" w:firstLineChars="200"/>
    </w:pPr>
  </w:style>
  <w:style w:type="paragraph" w:customStyle="1" w:styleId="37">
    <w:name w:val="正文文本缩进 21"/>
    <w:basedOn w:val="1"/>
    <w:autoRedefine/>
    <w:qFormat/>
    <w:uiPriority w:val="0"/>
    <w:pPr>
      <w:spacing w:after="120" w:line="480" w:lineRule="auto"/>
      <w:ind w:left="420" w:leftChars="200"/>
    </w:pPr>
  </w:style>
  <w:style w:type="paragraph" w:customStyle="1" w:styleId="38">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autoRedefine/>
    <w:qFormat/>
    <w:uiPriority w:val="0"/>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autoRedefine/>
    <w:qFormat/>
    <w:uiPriority w:val="0"/>
    <w:rPr>
      <w:rFonts w:ascii="Tahoma" w:hAnsi="Tahoma"/>
      <w:sz w:val="24"/>
      <w:szCs w:val="20"/>
    </w:rPr>
  </w:style>
  <w:style w:type="paragraph" w:customStyle="1" w:styleId="43">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autoRedefine/>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9"/>
    <w:link w:val="4"/>
    <w:autoRedefine/>
    <w:qFormat/>
    <w:uiPriority w:val="9"/>
    <w:rPr>
      <w:rFonts w:eastAsia="仿宋" w:asciiTheme="majorAscii" w:hAnsiTheme="majorAscii" w:cstheme="majorBidi"/>
      <w:b/>
      <w:bCs/>
      <w:kern w:val="2"/>
      <w:sz w:val="28"/>
      <w:szCs w:val="32"/>
    </w:rPr>
  </w:style>
  <w:style w:type="character" w:customStyle="1" w:styleId="47">
    <w:name w:val="书籍标题1"/>
    <w:autoRedefine/>
    <w:qFormat/>
    <w:uiPriority w:val="0"/>
    <w:rPr>
      <w:b/>
      <w:smallCaps/>
      <w:spacing w:val="5"/>
      <w:w w:val="100"/>
      <w:sz w:val="20"/>
      <w:szCs w:val="20"/>
      <w:shd w:val="clear" w:color="auto" w:fill="auto"/>
    </w:rPr>
  </w:style>
  <w:style w:type="paragraph" w:customStyle="1" w:styleId="48">
    <w:name w:val="List Paragraph"/>
    <w:basedOn w:val="1"/>
    <w:autoRedefine/>
    <w:qFormat/>
    <w:uiPriority w:val="0"/>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imes New Roman" w:hAnsi="Times New Roman" w:eastAsia="宋体" w:cs="Times New Roman"/>
      <w:sz w:val="20"/>
      <w:szCs w:val="20"/>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autoRedefine/>
    <w:qFormat/>
    <w:uiPriority w:val="0"/>
    <w:rPr>
      <w:kern w:val="2"/>
      <w:sz w:val="21"/>
      <w:szCs w:val="24"/>
      <w:lang w:val="en-US" w:eastAsia="zh-CN" w:bidi="ar-SA"/>
    </w:rPr>
  </w:style>
  <w:style w:type="paragraph" w:customStyle="1" w:styleId="54">
    <w:name w:val="UserStyle_2"/>
    <w:basedOn w:val="1"/>
    <w:link w:val="53"/>
    <w:autoRedefine/>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8251</Words>
  <Characters>8511</Characters>
  <Lines>101</Lines>
  <Paragraphs>28</Paragraphs>
  <TotalTime>2</TotalTime>
  <ScaleCrop>false</ScaleCrop>
  <LinksUpToDate>false</LinksUpToDate>
  <CharactersWithSpaces>9870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2024-04-15T01:18:12Z</cp:lastPrinted>
  <dcterms:modified xsi:type="dcterms:W3CDTF">2024-04-15T01:24:18Z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BF67DF285D0A45EB8BC117D6E87FE8C7</vt:lpwstr>
  </property>
</Properties>
</file>