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华文中宋"/>
          <w:b/>
          <w:sz w:val="84"/>
          <w:szCs w:val="84"/>
        </w:rPr>
      </w:pPr>
      <w:r>
        <w:rPr>
          <w:rFonts w:hint="eastAsia" w:ascii="仿宋" w:hAnsi="仿宋" w:eastAsia="仿宋" w:cs="华文中宋"/>
          <w:b/>
          <w:sz w:val="84"/>
          <w:szCs w:val="84"/>
        </w:rPr>
        <w:t xml:space="preserve"> </w:t>
      </w:r>
    </w:p>
    <w:p>
      <w:pPr>
        <w:jc w:val="center"/>
        <w:outlineLvl w:val="0"/>
        <w:rPr>
          <w:rFonts w:hint="eastAsia" w:ascii="仿宋" w:hAnsi="仿宋" w:eastAsia="仿宋" w:cs="华文中宋"/>
          <w:b/>
          <w:sz w:val="84"/>
          <w:szCs w:val="84"/>
        </w:rPr>
      </w:pPr>
      <w:r>
        <w:rPr>
          <w:rFonts w:hint="eastAsia" w:ascii="仿宋" w:hAnsi="仿宋" w:eastAsia="仿宋" w:cs="华文中宋"/>
          <w:b/>
          <w:sz w:val="84"/>
          <w:szCs w:val="84"/>
        </w:rPr>
        <w:t xml:space="preserve"> </w:t>
      </w:r>
      <w:bookmarkStart w:id="0" w:name="_Toc4049"/>
      <w:bookmarkStart w:id="1" w:name="_Toc30412"/>
      <w:bookmarkStart w:id="2" w:name="_Toc23878"/>
      <w:bookmarkStart w:id="3" w:name="_Toc1719"/>
      <w:r>
        <w:rPr>
          <w:rFonts w:hint="eastAsia" w:ascii="仿宋" w:hAnsi="仿宋" w:eastAsia="仿宋" w:cs="华文中宋"/>
          <w:b/>
          <w:sz w:val="84"/>
          <w:szCs w:val="84"/>
        </w:rPr>
        <w:t>重庆市铜梁区人民医院</w:t>
      </w:r>
      <w:bookmarkEnd w:id="0"/>
      <w:bookmarkEnd w:id="1"/>
      <w:bookmarkEnd w:id="2"/>
      <w:bookmarkEnd w:id="3"/>
    </w:p>
    <w:p>
      <w:pPr>
        <w:jc w:val="center"/>
        <w:rPr>
          <w:rFonts w:ascii="仿宋" w:hAnsi="仿宋" w:eastAsia="仿宋" w:cs="华文中宋"/>
          <w:b/>
          <w:sz w:val="84"/>
          <w:szCs w:val="84"/>
        </w:rPr>
      </w:pPr>
      <w:r>
        <w:rPr>
          <w:rFonts w:hint="eastAsia" w:ascii="仿宋" w:hAnsi="仿宋" w:eastAsia="仿宋" w:cs="华文中宋"/>
          <w:b/>
          <w:sz w:val="84"/>
          <w:szCs w:val="84"/>
        </w:rPr>
        <w:t>询价采购文件</w:t>
      </w:r>
    </w:p>
    <w:p>
      <w:pPr>
        <w:ind w:left="332"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32" w:leftChars="6" w:hanging="315" w:hangingChars="98"/>
        <w:jc w:val="center"/>
        <w:rPr>
          <w:rFonts w:ascii="仿宋" w:hAnsi="仿宋" w:eastAsia="仿宋"/>
          <w:b/>
          <w:sz w:val="32"/>
          <w:szCs w:val="32"/>
        </w:rPr>
      </w:pPr>
    </w:p>
    <w:p>
      <w:pPr>
        <w:snapToGrid w:val="0"/>
        <w:spacing w:line="480" w:lineRule="auto"/>
        <w:ind w:left="332"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采购项目：</w:t>
      </w:r>
      <w:r>
        <w:rPr>
          <w:rFonts w:hint="eastAsia" w:ascii="仿宋" w:hAnsi="仿宋" w:cs="华文中宋"/>
          <w:b/>
          <w:sz w:val="44"/>
          <w:szCs w:val="44"/>
          <w:lang w:eastAsia="zh-CN"/>
        </w:rPr>
        <w:t>PBL教室</w:t>
      </w:r>
    </w:p>
    <w:p>
      <w:pPr>
        <w:adjustRightInd w:val="0"/>
        <w:snapToGrid w:val="0"/>
        <w:spacing w:line="360" w:lineRule="auto"/>
        <w:ind w:firstLine="663" w:firstLineChars="150"/>
        <w:outlineLvl w:val="0"/>
        <w:rPr>
          <w:rFonts w:hint="eastAsia" w:ascii="仿宋" w:hAnsi="仿宋" w:eastAsia="仿宋" w:cs="华文中宋"/>
          <w:b/>
          <w:sz w:val="44"/>
          <w:szCs w:val="44"/>
          <w:lang w:eastAsia="zh-CN"/>
        </w:rPr>
      </w:pPr>
      <w:bookmarkStart w:id="4" w:name="_Toc19948"/>
      <w:bookmarkStart w:id="5" w:name="_Toc25426"/>
      <w:bookmarkStart w:id="6" w:name="_Toc24405"/>
      <w:bookmarkStart w:id="7" w:name="_Toc19486"/>
      <w:r>
        <w:rPr>
          <w:rFonts w:hint="eastAsia" w:ascii="仿宋" w:hAnsi="仿宋" w:eastAsia="仿宋" w:cs="华文中宋"/>
          <w:b/>
          <w:sz w:val="44"/>
          <w:szCs w:val="44"/>
        </w:rPr>
        <w:t>项目编号：</w:t>
      </w:r>
      <w:bookmarkEnd w:id="4"/>
      <w:bookmarkEnd w:id="5"/>
      <w:bookmarkEnd w:id="6"/>
      <w:r>
        <w:rPr>
          <w:rFonts w:hint="eastAsia" w:ascii="仿宋" w:hAnsi="仿宋" w:cs="华文中宋"/>
          <w:b/>
          <w:sz w:val="44"/>
          <w:szCs w:val="44"/>
          <w:lang w:eastAsia="zh-CN"/>
        </w:rPr>
        <w:t>TYC（询）2024-006</w:t>
      </w:r>
      <w:bookmarkEnd w:id="7"/>
    </w:p>
    <w:p>
      <w:pPr>
        <w:adjustRightInd w:val="0"/>
        <w:snapToGrid w:val="0"/>
        <w:spacing w:line="360" w:lineRule="auto"/>
        <w:ind w:firstLine="663" w:firstLineChars="150"/>
        <w:rPr>
          <w:rFonts w:ascii="仿宋" w:hAnsi="仿宋" w:eastAsia="仿宋" w:cs="华文中宋"/>
          <w:b/>
          <w:sz w:val="44"/>
          <w:szCs w:val="44"/>
        </w:rPr>
      </w:pPr>
      <w:r>
        <w:rPr>
          <w:rFonts w:hint="eastAsia" w:ascii="仿宋" w:hAnsi="仿宋" w:eastAsia="仿宋" w:cs="华文中宋"/>
          <w:b/>
          <w:sz w:val="44"/>
          <w:szCs w:val="44"/>
        </w:rPr>
        <w:t>采购方式：询价采购</w:t>
      </w:r>
    </w:p>
    <w:p>
      <w:pPr>
        <w:adjustRightInd w:val="0"/>
        <w:snapToGrid w:val="0"/>
        <w:spacing w:line="360" w:lineRule="auto"/>
        <w:ind w:firstLine="663" w:firstLineChars="150"/>
        <w:outlineLvl w:val="0"/>
        <w:rPr>
          <w:rFonts w:ascii="仿宋" w:hAnsi="仿宋" w:eastAsia="仿宋" w:cs="华文中宋"/>
          <w:b/>
          <w:sz w:val="44"/>
          <w:szCs w:val="44"/>
        </w:rPr>
      </w:pPr>
      <w:bookmarkStart w:id="8" w:name="_Toc178"/>
      <w:bookmarkStart w:id="9" w:name="_Toc21379"/>
      <w:bookmarkStart w:id="10" w:name="_Toc9926"/>
      <w:bookmarkStart w:id="11" w:name="_Toc1078"/>
      <w:r>
        <w:rPr>
          <w:rFonts w:hint="eastAsia" w:ascii="仿宋" w:hAnsi="仿宋" w:eastAsia="仿宋" w:cs="华文中宋"/>
          <w:b/>
          <w:sz w:val="44"/>
          <w:szCs w:val="44"/>
        </w:rPr>
        <w:t>采 购 人：重庆市铜梁区人民医院</w:t>
      </w:r>
      <w:bookmarkEnd w:id="8"/>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23577"/>
      <w:bookmarkStart w:id="13" w:name="_Toc31576"/>
      <w:bookmarkStart w:id="14" w:name="_Toc30537"/>
      <w:bookmarkStart w:id="15" w:name="_Toc19685"/>
      <w:r>
        <w:rPr>
          <w:rFonts w:hint="eastAsia" w:ascii="仿宋" w:hAnsi="仿宋" w:eastAsia="仿宋" w:cs="华文中宋"/>
          <w:b/>
          <w:sz w:val="28"/>
          <w:szCs w:val="28"/>
        </w:rPr>
        <w:t>重庆市铜梁区人民医院制</w:t>
      </w:r>
      <w:bookmarkEnd w:id="12"/>
      <w:bookmarkEnd w:id="13"/>
      <w:bookmarkEnd w:id="14"/>
      <w:bookmarkEnd w:id="15"/>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6" w:name="_Toc11779"/>
      <w:bookmarkStart w:id="17" w:name="_Toc967"/>
      <w:bookmarkStart w:id="18" w:name="_Toc27085"/>
      <w:bookmarkStart w:id="19" w:name="_Toc21557"/>
      <w:r>
        <w:rPr>
          <w:rFonts w:hint="eastAsia" w:ascii="仿宋" w:hAnsi="仿宋" w:eastAsia="仿宋" w:cs="华文中宋"/>
          <w:b/>
          <w:sz w:val="36"/>
          <w:szCs w:val="36"/>
        </w:rPr>
        <w:t>二0二</w:t>
      </w:r>
      <w:r>
        <w:rPr>
          <w:rFonts w:hint="eastAsia" w:ascii="仿宋" w:hAnsi="仿宋" w:cs="华文中宋"/>
          <w:b/>
          <w:sz w:val="36"/>
          <w:szCs w:val="36"/>
          <w:lang w:eastAsia="zh-CN"/>
        </w:rPr>
        <w:t>四</w:t>
      </w:r>
      <w:r>
        <w:rPr>
          <w:rFonts w:hint="eastAsia" w:ascii="仿宋" w:hAnsi="仿宋" w:eastAsia="仿宋" w:cs="华文中宋"/>
          <w:b/>
          <w:sz w:val="36"/>
          <w:szCs w:val="36"/>
        </w:rPr>
        <w:t>年</w:t>
      </w:r>
      <w:r>
        <w:rPr>
          <w:rFonts w:hint="eastAsia" w:ascii="仿宋" w:hAnsi="仿宋" w:cs="华文中宋"/>
          <w:b/>
          <w:sz w:val="36"/>
          <w:szCs w:val="36"/>
          <w:lang w:eastAsia="zh-CN"/>
        </w:rPr>
        <w:t>四</w:t>
      </w:r>
      <w:r>
        <w:rPr>
          <w:rFonts w:hint="eastAsia" w:ascii="仿宋" w:hAnsi="仿宋" w:eastAsia="仿宋" w:cs="华文中宋"/>
          <w:b/>
          <w:sz w:val="36"/>
          <w:szCs w:val="36"/>
        </w:rPr>
        <w:t>月</w:t>
      </w:r>
      <w:bookmarkEnd w:id="16"/>
      <w:bookmarkEnd w:id="17"/>
      <w:bookmarkEnd w:id="18"/>
      <w:bookmarkEnd w:id="19"/>
    </w:p>
    <w:p>
      <w:pPr>
        <w:widowControl/>
        <w:jc w:val="left"/>
        <w:rPr>
          <w:rFonts w:ascii="仿宋" w:hAnsi="仿宋" w:eastAsia="仿宋" w:cs="华文中宋"/>
          <w:b/>
          <w:sz w:val="36"/>
          <w:szCs w:val="36"/>
        </w:rPr>
        <w:sectPr>
          <w:pgSz w:w="11906" w:h="16838"/>
          <w:pgMar w:top="1134" w:right="851" w:bottom="1134" w:left="113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仿宋" w:hAnsi="仿宋" w:eastAsia="仿宋" w:cs="仿宋"/>
          <w:kern w:val="2"/>
          <w:sz w:val="28"/>
          <w:szCs w:val="28"/>
          <w:lang w:val="en-US" w:eastAsia="zh-CN" w:bidi="ar-SA"/>
        </w:rPr>
      </w:pPr>
      <w:r>
        <w:rPr>
          <w:rFonts w:hint="eastAsia" w:ascii="宋体" w:hAnsi="宋体" w:eastAsia="宋体" w:cs="Times New Roman"/>
          <w:kern w:val="2"/>
          <w:sz w:val="21"/>
          <w:szCs w:val="24"/>
          <w:lang w:val="en-US" w:eastAsia="zh-CN" w:bidi="ar-SA"/>
        </w:rPr>
        <w:t xml:space="preserve"> </w:t>
      </w:r>
    </w:p>
    <w:sdt>
      <w:sdtPr>
        <w:rPr>
          <w:rFonts w:ascii="宋体" w:hAnsi="宋体" w:eastAsia="宋体" w:cs="Times New Roman"/>
          <w:kern w:val="2"/>
          <w:sz w:val="28"/>
          <w:szCs w:val="28"/>
          <w:lang w:val="en-US" w:eastAsia="zh-CN" w:bidi="ar-SA"/>
        </w:rPr>
        <w:id w:val="147455477"/>
        <w15:color w:val="DBDBDB"/>
        <w:docPartObj>
          <w:docPartGallery w:val="Table of Contents"/>
          <w:docPartUnique/>
        </w:docPartObj>
      </w:sdtPr>
      <w:sdtEndPr>
        <w:rPr>
          <w:rFonts w:ascii="宋体" w:hAnsi="宋体" w:eastAsia="宋体" w:cs="Times New Roman"/>
          <w:b/>
          <w:kern w:val="2"/>
          <w:sz w:val="28"/>
          <w:szCs w:val="28"/>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ascii="仿宋" w:hAnsi="仿宋" w:eastAsia="仿宋" w:cs="仿宋"/>
              <w:sz w:val="28"/>
              <w:szCs w:val="28"/>
            </w:rPr>
            <w:t>目录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pPr>
            <w:pStyle w:val="12"/>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_Toc15725 </w:instrText>
          </w:r>
          <w:r>
            <w:rPr>
              <w:rFonts w:hint="eastAsia" w:ascii="仿宋" w:hAnsi="仿宋" w:eastAsia="仿宋" w:cs="仿宋"/>
              <w:szCs w:val="28"/>
            </w:rPr>
            <w:fldChar w:fldCharType="separate"/>
          </w:r>
          <w:r>
            <w:rPr>
              <w:rFonts w:hint="eastAsia"/>
            </w:rPr>
            <w:t>第一篇 采购公告</w:t>
          </w:r>
          <w:r>
            <w:tab/>
          </w:r>
          <w:r>
            <w:fldChar w:fldCharType="begin"/>
          </w:r>
          <w:r>
            <w:instrText xml:space="preserve"> PAGEREF _Toc15725 \h </w:instrText>
          </w:r>
          <w:r>
            <w:fldChar w:fldCharType="separate"/>
          </w:r>
          <w:r>
            <w:t>- 1 -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_Toc32701 </w:instrText>
          </w:r>
          <w:r>
            <w:rPr>
              <w:rFonts w:hint="eastAsia" w:ascii="仿宋" w:hAnsi="仿宋" w:eastAsia="仿宋" w:cs="仿宋"/>
              <w:szCs w:val="28"/>
            </w:rPr>
            <w:fldChar w:fldCharType="separate"/>
          </w:r>
          <w:r>
            <w:rPr>
              <w:rFonts w:hint="eastAsia"/>
            </w:rPr>
            <w:t>一、项目采购清单</w:t>
          </w:r>
          <w:r>
            <w:tab/>
          </w:r>
          <w:r>
            <w:fldChar w:fldCharType="begin"/>
          </w:r>
          <w:r>
            <w:instrText xml:space="preserve"> PAGEREF _Toc32701 \h </w:instrText>
          </w:r>
          <w:r>
            <w:fldChar w:fldCharType="separate"/>
          </w:r>
          <w:r>
            <w:t>- 1 -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_Toc3222 </w:instrText>
          </w:r>
          <w:r>
            <w:rPr>
              <w:rFonts w:hint="eastAsia" w:ascii="仿宋" w:hAnsi="仿宋" w:eastAsia="仿宋" w:cs="仿宋"/>
              <w:szCs w:val="28"/>
            </w:rPr>
            <w:fldChar w:fldCharType="separate"/>
          </w:r>
          <w:r>
            <w:rPr>
              <w:rFonts w:hint="eastAsia"/>
            </w:rPr>
            <w:t>二、投标人资质</w:t>
          </w:r>
          <w:r>
            <w:tab/>
          </w:r>
          <w:r>
            <w:fldChar w:fldCharType="begin"/>
          </w:r>
          <w:r>
            <w:instrText xml:space="preserve"> PAGEREF _Toc3222 \h </w:instrText>
          </w:r>
          <w:r>
            <w:fldChar w:fldCharType="separate"/>
          </w:r>
          <w:r>
            <w:t>- 1 -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_Toc19186 </w:instrText>
          </w:r>
          <w:r>
            <w:rPr>
              <w:rFonts w:hint="eastAsia" w:ascii="仿宋" w:hAnsi="仿宋" w:eastAsia="仿宋" w:cs="仿宋"/>
              <w:szCs w:val="28"/>
            </w:rPr>
            <w:fldChar w:fldCharType="separate"/>
          </w:r>
          <w:r>
            <w:rPr>
              <w:rFonts w:hint="eastAsia"/>
            </w:rPr>
            <w:t>三、询价采购文件的获取及报名截止时间、地点</w:t>
          </w:r>
          <w:r>
            <w:tab/>
          </w:r>
          <w:r>
            <w:fldChar w:fldCharType="begin"/>
          </w:r>
          <w:r>
            <w:instrText xml:space="preserve"> PAGEREF _Toc19186 \h </w:instrText>
          </w:r>
          <w:r>
            <w:fldChar w:fldCharType="separate"/>
          </w:r>
          <w:r>
            <w:t>- 1 -</w:t>
          </w:r>
          <w:r>
            <w:fldChar w:fldCharType="end"/>
          </w:r>
          <w:r>
            <w:rPr>
              <w:rFonts w:hint="eastAsia" w:ascii="仿宋" w:hAnsi="仿宋" w:eastAsia="仿宋" w:cs="仿宋"/>
              <w:szCs w:val="28"/>
            </w:rPr>
            <w:fldChar w:fldCharType="end"/>
          </w:r>
        </w:p>
        <w:p>
          <w:pPr>
            <w:pStyle w:val="12"/>
            <w:keepNext w:val="0"/>
            <w:keepLines w:val="0"/>
            <w:pageBreakBefore w:val="0"/>
            <w:widowControl w:val="0"/>
            <w:tabs>
              <w:tab w:val="right" w:leader="dot" w:pos="9921"/>
            </w:tabs>
            <w:kinsoku/>
            <w:wordWrap/>
            <w:overflowPunct/>
            <w:topLinePunct w:val="0"/>
            <w:autoSpaceDE/>
            <w:autoSpaceDN/>
            <w:bidi w:val="0"/>
            <w:adjustRightInd/>
            <w:snapToGrid/>
            <w:spacing w:line="400" w:lineRule="exact"/>
            <w:ind w:firstLine="560" w:firstLineChars="200"/>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_Toc17434 </w:instrText>
          </w:r>
          <w:r>
            <w:rPr>
              <w:rFonts w:hint="eastAsia" w:ascii="仿宋" w:hAnsi="仿宋" w:eastAsia="仿宋" w:cs="仿宋"/>
              <w:szCs w:val="28"/>
            </w:rPr>
            <w:fldChar w:fldCharType="separate"/>
          </w:r>
          <w:r>
            <w:rPr>
              <w:rFonts w:hint="eastAsia" w:eastAsia="仿宋" w:asciiTheme="majorAscii" w:hAnsiTheme="majorAscii" w:cstheme="majorBidi"/>
              <w:bCs/>
              <w:kern w:val="2"/>
              <w:szCs w:val="32"/>
              <w:lang w:val="en-US" w:eastAsia="zh-CN" w:bidi="ar-SA"/>
            </w:rPr>
            <w:t>四、递交投标文件及开标时间、地点</w:t>
          </w:r>
          <w:r>
            <w:tab/>
          </w:r>
          <w:r>
            <w:fldChar w:fldCharType="begin"/>
          </w:r>
          <w:r>
            <w:instrText xml:space="preserve"> PAGEREF _Toc17434 \h </w:instrText>
          </w:r>
          <w:r>
            <w:fldChar w:fldCharType="separate"/>
          </w:r>
          <w:r>
            <w:t>- 1 -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_Toc11771 </w:instrText>
          </w:r>
          <w:r>
            <w:rPr>
              <w:rFonts w:hint="eastAsia" w:ascii="仿宋" w:hAnsi="仿宋" w:eastAsia="仿宋" w:cs="仿宋"/>
              <w:szCs w:val="28"/>
            </w:rPr>
            <w:fldChar w:fldCharType="separate"/>
          </w:r>
          <w:r>
            <w:rPr>
              <w:rFonts w:hint="eastAsia"/>
            </w:rPr>
            <w:t>五、项目联系人及电话</w:t>
          </w:r>
          <w:r>
            <w:tab/>
          </w:r>
          <w:r>
            <w:fldChar w:fldCharType="begin"/>
          </w:r>
          <w:r>
            <w:instrText xml:space="preserve"> PAGEREF _Toc11771 \h </w:instrText>
          </w:r>
          <w:r>
            <w:fldChar w:fldCharType="separate"/>
          </w:r>
          <w:r>
            <w:t>- 1 -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_Toc29249 </w:instrText>
          </w:r>
          <w:r>
            <w:rPr>
              <w:rFonts w:hint="eastAsia" w:ascii="仿宋" w:hAnsi="仿宋" w:eastAsia="仿宋" w:cs="仿宋"/>
              <w:szCs w:val="28"/>
            </w:rPr>
            <w:fldChar w:fldCharType="separate"/>
          </w:r>
          <w:r>
            <w:rPr>
              <w:rFonts w:hint="eastAsia"/>
            </w:rPr>
            <w:t>六、监督管理</w:t>
          </w:r>
          <w:r>
            <w:tab/>
          </w:r>
          <w:r>
            <w:fldChar w:fldCharType="begin"/>
          </w:r>
          <w:r>
            <w:instrText xml:space="preserve"> PAGEREF _Toc29249 \h </w:instrText>
          </w:r>
          <w:r>
            <w:fldChar w:fldCharType="separate"/>
          </w:r>
          <w:r>
            <w:t>- 1 -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_Toc23012 </w:instrText>
          </w:r>
          <w:r>
            <w:rPr>
              <w:rFonts w:hint="eastAsia" w:ascii="仿宋" w:hAnsi="仿宋" w:eastAsia="仿宋" w:cs="仿宋"/>
              <w:szCs w:val="28"/>
            </w:rPr>
            <w:fldChar w:fldCharType="separate"/>
          </w:r>
          <w:r>
            <w:rPr>
              <w:rFonts w:hint="eastAsia"/>
            </w:rPr>
            <w:t>七、解释权</w:t>
          </w:r>
          <w:r>
            <w:tab/>
          </w:r>
          <w:r>
            <w:fldChar w:fldCharType="begin"/>
          </w:r>
          <w:r>
            <w:instrText xml:space="preserve"> PAGEREF _Toc23012 \h </w:instrText>
          </w:r>
          <w:r>
            <w:fldChar w:fldCharType="separate"/>
          </w:r>
          <w:r>
            <w:t>- 1 -</w:t>
          </w:r>
          <w:r>
            <w:fldChar w:fldCharType="end"/>
          </w:r>
          <w:r>
            <w:rPr>
              <w:rFonts w:hint="eastAsia" w:ascii="仿宋" w:hAnsi="仿宋" w:eastAsia="仿宋" w:cs="仿宋"/>
              <w:szCs w:val="28"/>
            </w:rPr>
            <w:fldChar w:fldCharType="end"/>
          </w:r>
        </w:p>
        <w:p>
          <w:pPr>
            <w:pStyle w:val="12"/>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_Toc5897 </w:instrText>
          </w:r>
          <w:r>
            <w:rPr>
              <w:rFonts w:hint="eastAsia" w:ascii="仿宋" w:hAnsi="仿宋" w:eastAsia="仿宋" w:cs="仿宋"/>
              <w:szCs w:val="28"/>
            </w:rPr>
            <w:fldChar w:fldCharType="separate"/>
          </w:r>
          <w:r>
            <w:rPr>
              <w:rFonts w:hint="eastAsia"/>
            </w:rPr>
            <w:t>第二篇 采购项目技术及商务要求</w:t>
          </w:r>
          <w:r>
            <w:tab/>
          </w:r>
          <w:r>
            <w:fldChar w:fldCharType="begin"/>
          </w:r>
          <w:r>
            <w:instrText xml:space="preserve"> PAGEREF _Toc5897 \h </w:instrText>
          </w:r>
          <w:r>
            <w:fldChar w:fldCharType="separate"/>
          </w:r>
          <w:r>
            <w:t>- 2 -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_Toc3869 </w:instrText>
          </w:r>
          <w:r>
            <w:rPr>
              <w:rFonts w:hint="eastAsia" w:ascii="仿宋" w:hAnsi="仿宋" w:eastAsia="仿宋" w:cs="仿宋"/>
              <w:szCs w:val="28"/>
            </w:rPr>
            <w:fldChar w:fldCharType="separate"/>
          </w:r>
          <w:r>
            <w:rPr>
              <w:rFonts w:hint="eastAsia"/>
            </w:rPr>
            <w:t>一、采购项目基本情况及限价</w:t>
          </w:r>
          <w:r>
            <w:tab/>
          </w:r>
          <w:r>
            <w:fldChar w:fldCharType="begin"/>
          </w:r>
          <w:r>
            <w:instrText xml:space="preserve"> PAGEREF _Toc3869 \h </w:instrText>
          </w:r>
          <w:r>
            <w:fldChar w:fldCharType="separate"/>
          </w:r>
          <w:r>
            <w:t>- 2 -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_Toc13640 </w:instrText>
          </w:r>
          <w:r>
            <w:rPr>
              <w:rFonts w:hint="eastAsia" w:ascii="仿宋" w:hAnsi="仿宋" w:eastAsia="仿宋" w:cs="仿宋"/>
              <w:szCs w:val="28"/>
            </w:rPr>
            <w:fldChar w:fldCharType="separate"/>
          </w:r>
          <w:r>
            <w:rPr>
              <w:rFonts w:hint="eastAsia"/>
            </w:rPr>
            <w:t>二、技术要求</w:t>
          </w:r>
          <w:r>
            <w:rPr>
              <w:rFonts w:hint="eastAsia"/>
              <w:lang w:eastAsia="zh-CN"/>
            </w:rPr>
            <w:t>及明细</w:t>
          </w:r>
          <w:r>
            <w:tab/>
          </w:r>
          <w:r>
            <w:fldChar w:fldCharType="begin"/>
          </w:r>
          <w:r>
            <w:instrText xml:space="preserve"> PAGEREF _Toc13640 \h </w:instrText>
          </w:r>
          <w:r>
            <w:fldChar w:fldCharType="separate"/>
          </w:r>
          <w:r>
            <w:t>- 2 -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_Toc190 </w:instrText>
          </w:r>
          <w:r>
            <w:rPr>
              <w:rFonts w:hint="eastAsia" w:ascii="仿宋" w:hAnsi="仿宋" w:eastAsia="仿宋" w:cs="仿宋"/>
              <w:szCs w:val="28"/>
            </w:rPr>
            <w:fldChar w:fldCharType="separate"/>
          </w:r>
          <w:r>
            <w:rPr>
              <w:rFonts w:hint="eastAsia" w:ascii="仿宋" w:hAnsi="仿宋" w:eastAsia="仿宋" w:cs="仿宋"/>
              <w:szCs w:val="28"/>
            </w:rPr>
            <w:t>三、商务要求</w:t>
          </w:r>
          <w:r>
            <w:tab/>
          </w:r>
          <w:r>
            <w:fldChar w:fldCharType="begin"/>
          </w:r>
          <w:r>
            <w:instrText xml:space="preserve"> PAGEREF _Toc190 \h </w:instrText>
          </w:r>
          <w:r>
            <w:fldChar w:fldCharType="separate"/>
          </w:r>
          <w:r>
            <w:t>- 11 -</w:t>
          </w:r>
          <w:r>
            <w:fldChar w:fldCharType="end"/>
          </w:r>
          <w:r>
            <w:rPr>
              <w:rFonts w:hint="eastAsia" w:ascii="仿宋" w:hAnsi="仿宋" w:eastAsia="仿宋" w:cs="仿宋"/>
              <w:szCs w:val="28"/>
            </w:rPr>
            <w:fldChar w:fldCharType="end"/>
          </w:r>
        </w:p>
        <w:p>
          <w:pPr>
            <w:pStyle w:val="12"/>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_Toc32634 </w:instrText>
          </w:r>
          <w:r>
            <w:rPr>
              <w:rFonts w:hint="eastAsia" w:ascii="仿宋" w:hAnsi="仿宋" w:eastAsia="仿宋" w:cs="仿宋"/>
              <w:szCs w:val="28"/>
            </w:rPr>
            <w:fldChar w:fldCharType="separate"/>
          </w:r>
          <w:r>
            <w:rPr>
              <w:rFonts w:hint="eastAsia"/>
            </w:rPr>
            <w:t>第三篇 评标方法、评标标准、无效投标条款和废标条款</w:t>
          </w:r>
          <w:r>
            <w:tab/>
          </w:r>
          <w:r>
            <w:fldChar w:fldCharType="begin"/>
          </w:r>
          <w:r>
            <w:instrText xml:space="preserve"> PAGEREF _Toc32634 \h </w:instrText>
          </w:r>
          <w:r>
            <w:fldChar w:fldCharType="separate"/>
          </w:r>
          <w:r>
            <w:t>- 14 -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_Toc26784 </w:instrText>
          </w:r>
          <w:r>
            <w:rPr>
              <w:rFonts w:hint="eastAsia" w:ascii="仿宋" w:hAnsi="仿宋" w:eastAsia="仿宋" w:cs="仿宋"/>
              <w:szCs w:val="28"/>
            </w:rPr>
            <w:fldChar w:fldCharType="separate"/>
          </w:r>
          <w:r>
            <w:rPr>
              <w:rFonts w:hint="eastAsia"/>
            </w:rPr>
            <w:t>一、评标方法定义</w:t>
          </w:r>
          <w:r>
            <w:tab/>
          </w:r>
          <w:r>
            <w:fldChar w:fldCharType="begin"/>
          </w:r>
          <w:r>
            <w:instrText xml:space="preserve"> PAGEREF _Toc26784 \h </w:instrText>
          </w:r>
          <w:r>
            <w:fldChar w:fldCharType="separate"/>
          </w:r>
          <w:r>
            <w:t>- 14 -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_Toc9819 </w:instrText>
          </w:r>
          <w:r>
            <w:rPr>
              <w:rFonts w:hint="eastAsia" w:ascii="仿宋" w:hAnsi="仿宋" w:eastAsia="仿宋" w:cs="仿宋"/>
              <w:szCs w:val="28"/>
            </w:rPr>
            <w:fldChar w:fldCharType="separate"/>
          </w:r>
          <w:r>
            <w:rPr>
              <w:rFonts w:hint="eastAsia"/>
            </w:rPr>
            <w:t>二、评标标准</w:t>
          </w:r>
          <w:r>
            <w:tab/>
          </w:r>
          <w:r>
            <w:fldChar w:fldCharType="begin"/>
          </w:r>
          <w:r>
            <w:instrText xml:space="preserve"> PAGEREF _Toc9819 \h </w:instrText>
          </w:r>
          <w:r>
            <w:fldChar w:fldCharType="separate"/>
          </w:r>
          <w:r>
            <w:t>- 14 -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_Toc6183 </w:instrText>
          </w:r>
          <w:r>
            <w:rPr>
              <w:rFonts w:hint="eastAsia" w:ascii="仿宋" w:hAnsi="仿宋" w:eastAsia="仿宋" w:cs="仿宋"/>
              <w:szCs w:val="28"/>
            </w:rPr>
            <w:fldChar w:fldCharType="separate"/>
          </w:r>
          <w:r>
            <w:rPr>
              <w:rFonts w:hint="eastAsia"/>
            </w:rPr>
            <w:t>三、无效投标条款</w:t>
          </w:r>
          <w:r>
            <w:tab/>
          </w:r>
          <w:r>
            <w:fldChar w:fldCharType="begin"/>
          </w:r>
          <w:r>
            <w:instrText xml:space="preserve"> PAGEREF _Toc6183 \h </w:instrText>
          </w:r>
          <w:r>
            <w:fldChar w:fldCharType="separate"/>
          </w:r>
          <w:r>
            <w:t>- 14 -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_Toc25359 </w:instrText>
          </w:r>
          <w:r>
            <w:rPr>
              <w:rFonts w:hint="eastAsia" w:ascii="仿宋" w:hAnsi="仿宋" w:eastAsia="仿宋" w:cs="仿宋"/>
              <w:szCs w:val="28"/>
            </w:rPr>
            <w:fldChar w:fldCharType="separate"/>
          </w:r>
          <w:r>
            <w:rPr>
              <w:rFonts w:hint="eastAsia"/>
            </w:rPr>
            <w:t>四、废标条款</w:t>
          </w:r>
          <w:r>
            <w:tab/>
          </w:r>
          <w:r>
            <w:fldChar w:fldCharType="begin"/>
          </w:r>
          <w:r>
            <w:instrText xml:space="preserve"> PAGEREF _Toc25359 \h </w:instrText>
          </w:r>
          <w:r>
            <w:fldChar w:fldCharType="separate"/>
          </w:r>
          <w:r>
            <w:t>- 15 -</w:t>
          </w:r>
          <w:r>
            <w:fldChar w:fldCharType="end"/>
          </w:r>
          <w:r>
            <w:rPr>
              <w:rFonts w:hint="eastAsia" w:ascii="仿宋" w:hAnsi="仿宋" w:eastAsia="仿宋" w:cs="仿宋"/>
              <w:szCs w:val="28"/>
            </w:rPr>
            <w:fldChar w:fldCharType="end"/>
          </w:r>
        </w:p>
        <w:p>
          <w:pPr>
            <w:pStyle w:val="12"/>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_Toc25500 </w:instrText>
          </w:r>
          <w:r>
            <w:rPr>
              <w:rFonts w:hint="eastAsia" w:ascii="仿宋" w:hAnsi="仿宋" w:eastAsia="仿宋" w:cs="仿宋"/>
              <w:szCs w:val="28"/>
            </w:rPr>
            <w:fldChar w:fldCharType="separate"/>
          </w:r>
          <w:r>
            <w:rPr>
              <w:rFonts w:hint="eastAsia"/>
            </w:rPr>
            <w:t>第四篇 投标人须知</w:t>
          </w:r>
          <w:r>
            <w:tab/>
          </w:r>
          <w:r>
            <w:fldChar w:fldCharType="begin"/>
          </w:r>
          <w:r>
            <w:instrText xml:space="preserve"> PAGEREF _Toc25500 \h </w:instrText>
          </w:r>
          <w:r>
            <w:fldChar w:fldCharType="separate"/>
          </w:r>
          <w:r>
            <w:t>- 16 -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_Toc10005 </w:instrText>
          </w:r>
          <w:r>
            <w:rPr>
              <w:rFonts w:hint="eastAsia" w:ascii="仿宋" w:hAnsi="仿宋" w:eastAsia="仿宋" w:cs="仿宋"/>
              <w:szCs w:val="28"/>
            </w:rPr>
            <w:fldChar w:fldCharType="separate"/>
          </w:r>
          <w:r>
            <w:rPr>
              <w:rFonts w:hint="eastAsia"/>
            </w:rPr>
            <w:t>一、投标费用</w:t>
          </w:r>
          <w:r>
            <w:tab/>
          </w:r>
          <w:r>
            <w:fldChar w:fldCharType="begin"/>
          </w:r>
          <w:r>
            <w:instrText xml:space="preserve"> PAGEREF _Toc10005 \h </w:instrText>
          </w:r>
          <w:r>
            <w:fldChar w:fldCharType="separate"/>
          </w:r>
          <w:r>
            <w:t>- 16 -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_Toc4731 </w:instrText>
          </w:r>
          <w:r>
            <w:rPr>
              <w:rFonts w:hint="eastAsia" w:ascii="仿宋" w:hAnsi="仿宋" w:eastAsia="仿宋" w:cs="仿宋"/>
              <w:szCs w:val="28"/>
            </w:rPr>
            <w:fldChar w:fldCharType="separate"/>
          </w:r>
          <w:r>
            <w:rPr>
              <w:rFonts w:hint="eastAsia"/>
            </w:rPr>
            <w:t>二、投标文件构成要件及顺序</w:t>
          </w:r>
          <w:r>
            <w:tab/>
          </w:r>
          <w:r>
            <w:fldChar w:fldCharType="begin"/>
          </w:r>
          <w:r>
            <w:instrText xml:space="preserve"> PAGEREF _Toc4731 \h </w:instrText>
          </w:r>
          <w:r>
            <w:fldChar w:fldCharType="separate"/>
          </w:r>
          <w:r>
            <w:t>- 16 -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_Toc22343 </w:instrText>
          </w:r>
          <w:r>
            <w:rPr>
              <w:rFonts w:hint="eastAsia" w:ascii="仿宋" w:hAnsi="仿宋" w:eastAsia="仿宋" w:cs="仿宋"/>
              <w:szCs w:val="28"/>
            </w:rPr>
            <w:fldChar w:fldCharType="separate"/>
          </w:r>
          <w:r>
            <w:rPr>
              <w:rFonts w:hint="eastAsia"/>
            </w:rPr>
            <w:t>三、投标文件的制作</w:t>
          </w:r>
          <w:r>
            <w:tab/>
          </w:r>
          <w:r>
            <w:fldChar w:fldCharType="begin"/>
          </w:r>
          <w:r>
            <w:instrText xml:space="preserve"> PAGEREF _Toc22343 \h </w:instrText>
          </w:r>
          <w:r>
            <w:fldChar w:fldCharType="separate"/>
          </w:r>
          <w:r>
            <w:t>- 16 -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_Toc24218 </w:instrText>
          </w:r>
          <w:r>
            <w:rPr>
              <w:rFonts w:hint="eastAsia" w:ascii="仿宋" w:hAnsi="仿宋" w:eastAsia="仿宋" w:cs="仿宋"/>
              <w:szCs w:val="28"/>
            </w:rPr>
            <w:fldChar w:fldCharType="separate"/>
          </w:r>
          <w:r>
            <w:rPr>
              <w:rFonts w:hint="eastAsia"/>
            </w:rPr>
            <w:t>四、投标文件的递交和处置</w:t>
          </w:r>
          <w:r>
            <w:tab/>
          </w:r>
          <w:r>
            <w:fldChar w:fldCharType="begin"/>
          </w:r>
          <w:r>
            <w:instrText xml:space="preserve"> PAGEREF _Toc24218 \h </w:instrText>
          </w:r>
          <w:r>
            <w:fldChar w:fldCharType="separate"/>
          </w:r>
          <w:r>
            <w:t>- 17 -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_Toc15500 </w:instrText>
          </w:r>
          <w:r>
            <w:rPr>
              <w:rFonts w:hint="eastAsia" w:ascii="仿宋" w:hAnsi="仿宋" w:eastAsia="仿宋" w:cs="仿宋"/>
              <w:szCs w:val="28"/>
            </w:rPr>
            <w:fldChar w:fldCharType="separate"/>
          </w:r>
          <w:r>
            <w:rPr>
              <w:rFonts w:hint="eastAsia"/>
            </w:rPr>
            <w:t>五、投标保证金的交纳与处置</w:t>
          </w:r>
          <w:r>
            <w:tab/>
          </w:r>
          <w:r>
            <w:fldChar w:fldCharType="begin"/>
          </w:r>
          <w:r>
            <w:instrText xml:space="preserve"> PAGEREF _Toc15500 \h </w:instrText>
          </w:r>
          <w:r>
            <w:fldChar w:fldCharType="separate"/>
          </w:r>
          <w:r>
            <w:t>- 17 -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_Toc27829 </w:instrText>
          </w:r>
          <w:r>
            <w:rPr>
              <w:rFonts w:hint="eastAsia" w:ascii="仿宋" w:hAnsi="仿宋" w:eastAsia="仿宋" w:cs="仿宋"/>
              <w:szCs w:val="28"/>
            </w:rPr>
            <w:fldChar w:fldCharType="separate"/>
          </w:r>
          <w:r>
            <w:rPr>
              <w:rFonts w:hint="eastAsia"/>
            </w:rPr>
            <w:t>六、履约保证金</w:t>
          </w:r>
          <w:r>
            <w:tab/>
          </w:r>
          <w:r>
            <w:fldChar w:fldCharType="begin"/>
          </w:r>
          <w:r>
            <w:instrText xml:space="preserve"> PAGEREF _Toc27829 \h </w:instrText>
          </w:r>
          <w:r>
            <w:fldChar w:fldCharType="separate"/>
          </w:r>
          <w:r>
            <w:t>- 17 -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_Toc18870 </w:instrText>
          </w:r>
          <w:r>
            <w:rPr>
              <w:rFonts w:hint="eastAsia" w:ascii="仿宋" w:hAnsi="仿宋" w:eastAsia="仿宋" w:cs="仿宋"/>
              <w:szCs w:val="28"/>
            </w:rPr>
            <w:fldChar w:fldCharType="separate"/>
          </w:r>
          <w:r>
            <w:rPr>
              <w:rFonts w:hint="eastAsia"/>
            </w:rPr>
            <w:t>七、询价开标程序</w:t>
          </w:r>
          <w:r>
            <w:tab/>
          </w:r>
          <w:r>
            <w:fldChar w:fldCharType="begin"/>
          </w:r>
          <w:r>
            <w:instrText xml:space="preserve"> PAGEREF _Toc18870 \h </w:instrText>
          </w:r>
          <w:r>
            <w:fldChar w:fldCharType="separate"/>
          </w:r>
          <w:r>
            <w:t>- 17 -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_Toc9420 </w:instrText>
          </w:r>
          <w:r>
            <w:rPr>
              <w:rFonts w:hint="eastAsia" w:ascii="仿宋" w:hAnsi="仿宋" w:eastAsia="仿宋" w:cs="仿宋"/>
              <w:szCs w:val="28"/>
            </w:rPr>
            <w:fldChar w:fldCharType="separate"/>
          </w:r>
          <w:r>
            <w:rPr>
              <w:rFonts w:hint="eastAsia"/>
            </w:rPr>
            <w:t>八、采购结果公示</w:t>
          </w:r>
          <w:r>
            <w:tab/>
          </w:r>
          <w:r>
            <w:fldChar w:fldCharType="begin"/>
          </w:r>
          <w:r>
            <w:instrText xml:space="preserve"> PAGEREF _Toc9420 \h </w:instrText>
          </w:r>
          <w:r>
            <w:fldChar w:fldCharType="separate"/>
          </w:r>
          <w:r>
            <w:t>- 18 -</w:t>
          </w:r>
          <w:r>
            <w:fldChar w:fldCharType="end"/>
          </w:r>
          <w:r>
            <w:rPr>
              <w:rFonts w:hint="eastAsia" w:ascii="仿宋" w:hAnsi="仿宋" w:eastAsia="仿宋" w:cs="仿宋"/>
              <w:szCs w:val="28"/>
            </w:rPr>
            <w:fldChar w:fldCharType="end"/>
          </w:r>
        </w:p>
        <w:p>
          <w:pPr>
            <w:pStyle w:val="14"/>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_Toc8009 </w:instrText>
          </w:r>
          <w:r>
            <w:rPr>
              <w:rFonts w:hint="eastAsia" w:ascii="仿宋" w:hAnsi="仿宋" w:eastAsia="仿宋" w:cs="仿宋"/>
              <w:szCs w:val="28"/>
            </w:rPr>
            <w:fldChar w:fldCharType="separate"/>
          </w:r>
          <w:r>
            <w:rPr>
              <w:rFonts w:hint="eastAsia"/>
            </w:rPr>
            <w:t>九、合同签订及备案</w:t>
          </w:r>
          <w:r>
            <w:tab/>
          </w:r>
          <w:r>
            <w:fldChar w:fldCharType="begin"/>
          </w:r>
          <w:r>
            <w:instrText xml:space="preserve"> PAGEREF _Toc8009 \h </w:instrText>
          </w:r>
          <w:r>
            <w:fldChar w:fldCharType="separate"/>
          </w:r>
          <w:r>
            <w:t>- 18 -</w:t>
          </w:r>
          <w:r>
            <w:fldChar w:fldCharType="end"/>
          </w:r>
          <w:r>
            <w:rPr>
              <w:rFonts w:hint="eastAsia" w:ascii="仿宋" w:hAnsi="仿宋" w:eastAsia="仿宋" w:cs="仿宋"/>
              <w:szCs w:val="28"/>
            </w:rPr>
            <w:fldChar w:fldCharType="end"/>
          </w:r>
        </w:p>
        <w:p>
          <w:pPr>
            <w:pStyle w:val="12"/>
            <w:keepNext w:val="0"/>
            <w:keepLines w:val="0"/>
            <w:pageBreakBefore w:val="0"/>
            <w:widowControl w:val="0"/>
            <w:tabs>
              <w:tab w:val="right" w:leader="dot" w:pos="9921"/>
            </w:tabs>
            <w:kinsoku/>
            <w:wordWrap/>
            <w:overflowPunct/>
            <w:topLinePunct w:val="0"/>
            <w:autoSpaceDE/>
            <w:autoSpaceDN/>
            <w:bidi w:val="0"/>
            <w:adjustRightInd/>
            <w:snapToGrid/>
            <w:spacing w:line="400" w:lineRule="exact"/>
            <w:textAlignment w:val="auto"/>
            <w:rPr>
              <w:sz w:val="28"/>
              <w:szCs w:val="28"/>
            </w:rPr>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_Toc6779 </w:instrText>
          </w:r>
          <w:r>
            <w:rPr>
              <w:rFonts w:hint="eastAsia" w:ascii="仿宋" w:hAnsi="仿宋" w:eastAsia="仿宋" w:cs="仿宋"/>
              <w:szCs w:val="28"/>
            </w:rPr>
            <w:fldChar w:fldCharType="separate"/>
          </w:r>
          <w:r>
            <w:rPr>
              <w:rFonts w:hint="eastAsia"/>
            </w:rPr>
            <w:t>第五篇 投标文件部分内容格式及附件</w:t>
          </w:r>
          <w:r>
            <w:tab/>
          </w:r>
          <w:r>
            <w:fldChar w:fldCharType="begin"/>
          </w:r>
          <w:r>
            <w:instrText xml:space="preserve"> PAGEREF _Toc6779 \h </w:instrText>
          </w:r>
          <w:r>
            <w:fldChar w:fldCharType="separate"/>
          </w:r>
          <w:r>
            <w:t>- 19 -</w:t>
          </w:r>
          <w:r>
            <w:fldChar w:fldCharType="end"/>
          </w:r>
          <w:r>
            <w:rPr>
              <w:rFonts w:hint="eastAsia" w:ascii="仿宋" w:hAnsi="仿宋" w:eastAsia="仿宋" w:cs="仿宋"/>
              <w:szCs w:val="28"/>
            </w:rPr>
            <w:fldChar w:fldCharType="end"/>
          </w:r>
          <w:r>
            <w:rPr>
              <w:rFonts w:hint="eastAsia" w:ascii="仿宋" w:hAnsi="仿宋" w:eastAsia="仿宋" w:cs="仿宋"/>
              <w:sz w:val="28"/>
              <w:szCs w:val="28"/>
            </w:rPr>
            <w:fldChar w:fldCharType="end"/>
          </w:r>
        </w:p>
      </w:sdtContent>
    </w:sdt>
    <w:p>
      <w:pPr>
        <w:pStyle w:val="3"/>
        <w:rPr>
          <w:rFonts w:hint="eastAsia"/>
        </w:rPr>
        <w:sectPr>
          <w:footerReference r:id="rId3" w:type="default"/>
          <w:pgSz w:w="11906" w:h="16838"/>
          <w:pgMar w:top="1134" w:right="851" w:bottom="1134" w:left="1134" w:header="851" w:footer="992" w:gutter="0"/>
          <w:pgNumType w:fmt="numberInDash" w:start="1"/>
          <w:cols w:space="720" w:num="1"/>
          <w:docGrid w:type="lines" w:linePitch="312" w:charSpace="0"/>
        </w:sectPr>
      </w:pPr>
    </w:p>
    <w:p>
      <w:pPr>
        <w:pStyle w:val="3"/>
        <w:rPr>
          <w:rFonts w:ascii="仿宋" w:hAnsi="仿宋"/>
          <w:spacing w:val="-20"/>
          <w:position w:val="6"/>
          <w:sz w:val="30"/>
          <w:szCs w:val="30"/>
        </w:rPr>
      </w:pPr>
      <w:bookmarkStart w:id="20" w:name="_Toc15725"/>
      <w:r>
        <w:rPr>
          <w:rFonts w:hint="eastAsia"/>
        </w:rPr>
        <w:t>第一篇 采购公告</w:t>
      </w:r>
      <w:bookmarkEnd w:id="20"/>
    </w:p>
    <w:p>
      <w:pPr>
        <w:adjustRightInd w:val="0"/>
        <w:snapToGrid w:val="0"/>
        <w:spacing w:line="440" w:lineRule="exact"/>
        <w:ind w:firstLine="560" w:firstLineChars="200"/>
        <w:rPr>
          <w:rFonts w:ascii="仿宋" w:hAnsi="仿宋" w:eastAsia="仿宋" w:cs="宋体"/>
          <w:sz w:val="28"/>
          <w:szCs w:val="28"/>
        </w:rPr>
      </w:pPr>
      <w:r>
        <w:rPr>
          <w:rFonts w:hint="eastAsia" w:ascii="仿宋" w:hAnsi="仿宋" w:cs="宋体"/>
          <w:sz w:val="28"/>
          <w:szCs w:val="28"/>
          <w:lang w:eastAsia="zh-CN"/>
        </w:rPr>
        <w:t>经</w:t>
      </w:r>
      <w:r>
        <w:rPr>
          <w:rFonts w:hint="eastAsia" w:ascii="仿宋" w:hAnsi="仿宋" w:eastAsia="仿宋" w:cs="宋体"/>
          <w:sz w:val="28"/>
          <w:szCs w:val="28"/>
        </w:rPr>
        <w:t>重庆市铜梁区人民医院研究决定，我院按政府采购相关规定对“</w:t>
      </w:r>
      <w:r>
        <w:rPr>
          <w:rFonts w:hint="eastAsia" w:ascii="仿宋" w:hAnsi="仿宋" w:cs="宋体"/>
          <w:sz w:val="28"/>
          <w:szCs w:val="28"/>
          <w:lang w:eastAsia="zh-CN"/>
        </w:rPr>
        <w:t>PBL教室</w:t>
      </w:r>
      <w:r>
        <w:rPr>
          <w:rFonts w:hint="eastAsia" w:ascii="仿宋" w:hAnsi="仿宋" w:eastAsia="仿宋" w:cs="宋体"/>
          <w:sz w:val="28"/>
          <w:szCs w:val="28"/>
        </w:rPr>
        <w:t>”项目进行询价采购</w:t>
      </w:r>
      <w:r>
        <w:rPr>
          <w:rFonts w:hint="eastAsia" w:ascii="仿宋" w:hAnsi="仿宋" w:eastAsia="仿宋" w:cs="宋体"/>
          <w:spacing w:val="-10"/>
          <w:sz w:val="28"/>
          <w:szCs w:val="28"/>
        </w:rPr>
        <w:t>，</w:t>
      </w:r>
      <w:r>
        <w:rPr>
          <w:rFonts w:hint="eastAsia" w:ascii="仿宋" w:hAnsi="仿宋" w:eastAsia="仿宋" w:cs="宋体"/>
          <w:sz w:val="28"/>
          <w:szCs w:val="28"/>
        </w:rPr>
        <w:t>欢迎符合条件的投标人参与投标。现将有关采购事宜公告如下：</w:t>
      </w:r>
    </w:p>
    <w:p>
      <w:pPr>
        <w:pStyle w:val="4"/>
        <w:bidi w:val="0"/>
        <w:outlineLvl w:val="0"/>
      </w:pPr>
      <w:bookmarkStart w:id="21" w:name="_Toc32701"/>
      <w:r>
        <w:rPr>
          <w:rFonts w:hint="eastAsia"/>
        </w:rPr>
        <w:t>一、项目采购清单</w:t>
      </w:r>
      <w:bookmarkEnd w:id="21"/>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spacing w:val="-10"/>
          <w:sz w:val="28"/>
          <w:szCs w:val="28"/>
        </w:rPr>
        <w:t>（一）项目名称</w:t>
      </w: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PBL教室</w:t>
      </w:r>
    </w:p>
    <w:p>
      <w:pPr>
        <w:adjustRightInd w:val="0"/>
        <w:snapToGrid w:val="0"/>
        <w:spacing w:line="440" w:lineRule="exact"/>
        <w:ind w:firstLine="520" w:firstLineChars="200"/>
        <w:rPr>
          <w:rFonts w:hint="eastAsia"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rPr>
        <w:t>（二）项目编号：</w:t>
      </w:r>
      <w:r>
        <w:rPr>
          <w:rFonts w:hint="eastAsia" w:ascii="仿宋" w:hAnsi="仿宋" w:cs="宋体"/>
          <w:color w:val="auto"/>
          <w:spacing w:val="-10"/>
          <w:sz w:val="28"/>
          <w:szCs w:val="28"/>
          <w:lang w:eastAsia="zh-CN"/>
        </w:rPr>
        <w:t>TYC（询）2024-006</w:t>
      </w:r>
    </w:p>
    <w:p>
      <w:pPr>
        <w:adjustRightInd w:val="0"/>
        <w:snapToGrid w:val="0"/>
        <w:spacing w:line="440" w:lineRule="exact"/>
        <w:ind w:firstLine="520" w:firstLineChars="200"/>
        <w:rPr>
          <w:rFonts w:hint="eastAsia" w:ascii="仿宋" w:hAnsi="仿宋" w:eastAsia="仿宋" w:cs="宋体"/>
          <w:sz w:val="28"/>
          <w:szCs w:val="28"/>
        </w:rPr>
      </w:pPr>
      <w:r>
        <w:rPr>
          <w:rFonts w:hint="eastAsia" w:ascii="仿宋" w:hAnsi="仿宋" w:eastAsia="仿宋" w:cs="宋体"/>
          <w:color w:val="auto"/>
          <w:spacing w:val="-10"/>
          <w:sz w:val="28"/>
          <w:szCs w:val="28"/>
        </w:rPr>
        <w:t>（三）项目最高采购限价</w:t>
      </w:r>
      <w:r>
        <w:rPr>
          <w:rFonts w:hint="eastAsia" w:ascii="仿宋" w:hAnsi="仿宋" w:cs="宋体"/>
          <w:color w:val="auto"/>
          <w:spacing w:val="-10"/>
          <w:sz w:val="28"/>
          <w:szCs w:val="28"/>
          <w:lang w:eastAsia="zh-CN"/>
        </w:rPr>
        <w:t>：</w:t>
      </w:r>
      <w:r>
        <w:rPr>
          <w:rFonts w:hint="eastAsia" w:ascii="仿宋" w:hAnsi="仿宋" w:eastAsia="仿宋" w:cs="宋体"/>
          <w:sz w:val="28"/>
          <w:szCs w:val="28"/>
          <w:lang w:val="en-US" w:eastAsia="zh-CN"/>
        </w:rPr>
        <w:t>24.2013万元</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（四）定标办法：最低评标价法</w:t>
      </w:r>
    </w:p>
    <w:p>
      <w:pPr>
        <w:pStyle w:val="4"/>
        <w:bidi w:val="0"/>
        <w:outlineLvl w:val="0"/>
        <w:rPr>
          <w:color w:val="auto"/>
        </w:rPr>
      </w:pPr>
      <w:bookmarkStart w:id="22" w:name="_Toc3222"/>
      <w:r>
        <w:rPr>
          <w:rFonts w:hint="eastAsia"/>
          <w:color w:val="auto"/>
        </w:rPr>
        <w:t>二、投标人资质</w:t>
      </w:r>
      <w:bookmarkEnd w:id="22"/>
    </w:p>
    <w:p>
      <w:pPr>
        <w:adjustRightInd w:val="0"/>
        <w:snapToGrid w:val="0"/>
        <w:spacing w:line="440" w:lineRule="exact"/>
        <w:ind w:firstLine="520" w:firstLineChars="200"/>
        <w:rPr>
          <w:rFonts w:ascii="仿宋" w:hAnsi="仿宋" w:eastAsia="仿宋" w:cs="宋体"/>
          <w:color w:val="auto"/>
          <w:spacing w:val="-10"/>
          <w:sz w:val="28"/>
          <w:szCs w:val="28"/>
        </w:rPr>
      </w:pPr>
      <w:bookmarkStart w:id="23" w:name="_Toc184635056"/>
      <w:bookmarkStart w:id="24" w:name="_Toc219178018"/>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p>
    <w:p>
      <w:pPr>
        <w:adjustRightInd w:val="0"/>
        <w:snapToGrid w:val="0"/>
        <w:spacing w:line="440" w:lineRule="exact"/>
        <w:ind w:firstLine="522" w:firstLineChars="200"/>
        <w:rPr>
          <w:rFonts w:ascii="仿宋" w:hAnsi="仿宋" w:eastAsia="仿宋" w:cs="宋体"/>
          <w:b/>
          <w:bCs/>
          <w:spacing w:val="-10"/>
          <w:sz w:val="28"/>
          <w:szCs w:val="28"/>
        </w:rPr>
      </w:pPr>
      <w:r>
        <w:rPr>
          <w:rFonts w:hint="eastAsia" w:ascii="仿宋" w:hAnsi="仿宋" w:eastAsia="仿宋" w:cs="宋体"/>
          <w:b/>
          <w:bCs/>
          <w:spacing w:val="-10"/>
          <w:sz w:val="28"/>
          <w:szCs w:val="28"/>
        </w:rPr>
        <w:t>说明：1.资质文件可为复印件，但必须清晰可辨且加盖单位鲜章，否则视为无效。</w:t>
      </w:r>
    </w:p>
    <w:p>
      <w:pPr>
        <w:adjustRightInd w:val="0"/>
        <w:snapToGrid w:val="0"/>
        <w:spacing w:line="440" w:lineRule="exact"/>
        <w:ind w:firstLine="522" w:firstLineChars="200"/>
        <w:outlineLvl w:val="1"/>
        <w:rPr>
          <w:rFonts w:ascii="仿宋" w:hAnsi="仿宋" w:eastAsia="仿宋" w:cs="宋体"/>
          <w:b/>
          <w:bCs/>
          <w:spacing w:val="-10"/>
          <w:sz w:val="28"/>
          <w:szCs w:val="28"/>
        </w:rPr>
      </w:pPr>
      <w:r>
        <w:rPr>
          <w:rFonts w:hint="eastAsia" w:ascii="仿宋" w:hAnsi="仿宋" w:eastAsia="仿宋" w:cs="宋体"/>
          <w:b/>
          <w:bCs/>
          <w:spacing w:val="-10"/>
          <w:sz w:val="28"/>
          <w:szCs w:val="28"/>
        </w:rPr>
        <w:t xml:space="preserve">       </w:t>
      </w:r>
      <w:bookmarkStart w:id="25" w:name="_Toc16196"/>
      <w:bookmarkStart w:id="26" w:name="_Toc24342"/>
      <w:bookmarkStart w:id="27" w:name="_Toc24648"/>
      <w:bookmarkStart w:id="28" w:name="_Toc16800"/>
      <w:r>
        <w:rPr>
          <w:rFonts w:hint="eastAsia" w:ascii="仿宋" w:hAnsi="仿宋" w:eastAsia="仿宋" w:cs="宋体"/>
          <w:b/>
          <w:bCs/>
          <w:spacing w:val="-10"/>
          <w:sz w:val="28"/>
          <w:szCs w:val="28"/>
        </w:rPr>
        <w:t>2.本次投标不接受联合体投标。</w:t>
      </w:r>
      <w:bookmarkEnd w:id="25"/>
      <w:bookmarkEnd w:id="26"/>
      <w:bookmarkEnd w:id="27"/>
      <w:bookmarkEnd w:id="28"/>
    </w:p>
    <w:p>
      <w:pPr>
        <w:pStyle w:val="4"/>
        <w:bidi w:val="0"/>
        <w:outlineLvl w:val="0"/>
      </w:pPr>
      <w:bookmarkStart w:id="29" w:name="_Toc19186"/>
      <w:r>
        <w:rPr>
          <w:rFonts w:hint="eastAsia"/>
        </w:rPr>
        <w:t>三、询价采购文件的获取及报名截止时间、地点</w:t>
      </w:r>
      <w:bookmarkEnd w:id="29"/>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询价采购文件获取方式：本项目询价采购文件在重庆市铜梁区人民医院官网（www.tlxrmyy.net）上免费下载。</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spacing w:val="-10"/>
          <w:sz w:val="28"/>
          <w:lang w:eastAsia="zh-CN"/>
        </w:rPr>
      </w:pPr>
      <w:r>
        <w:rPr>
          <w:rFonts w:hint="eastAsia" w:ascii="仿宋" w:hAnsi="仿宋" w:eastAsia="仿宋" w:cs="仿宋_GB2312"/>
          <w:color w:val="000000"/>
          <w:sz w:val="28"/>
          <w:szCs w:val="28"/>
        </w:rPr>
        <w:t>报名地点：重庆市铜梁区人民医院行政楼四楼</w:t>
      </w:r>
      <w:r>
        <w:rPr>
          <w:rFonts w:hint="eastAsia" w:ascii="仿宋" w:hAnsi="仿宋" w:cs="仿宋_GB2312"/>
          <w:color w:val="000000"/>
          <w:sz w:val="28"/>
          <w:szCs w:val="28"/>
          <w:lang w:val="en-US" w:eastAsia="zh-CN"/>
        </w:rPr>
        <w:t>413</w:t>
      </w:r>
      <w:r>
        <w:rPr>
          <w:rFonts w:hint="eastAsia" w:ascii="仿宋" w:hAnsi="仿宋" w:eastAsia="仿宋" w:cs="仿宋_GB2312"/>
          <w:color w:val="000000"/>
          <w:sz w:val="28"/>
          <w:szCs w:val="28"/>
        </w:rPr>
        <w:t>采购办</w:t>
      </w:r>
      <w:bookmarkStart w:id="291" w:name="_GoBack"/>
      <w:bookmarkEnd w:id="291"/>
      <w:r>
        <w:rPr>
          <w:rFonts w:hint="eastAsia" w:ascii="仿宋" w:hAnsi="仿宋" w:eastAsia="仿宋" w:cs="仿宋_GB2312"/>
          <w:color w:val="000000"/>
          <w:sz w:val="28"/>
          <w:szCs w:val="28"/>
        </w:rPr>
        <w:t>公室</w:t>
      </w:r>
      <w:r>
        <w:rPr>
          <w:rFonts w:hint="eastAsia" w:ascii="仿宋" w:hAnsi="仿宋" w:cs="仿宋_GB2312"/>
          <w:color w:val="000000"/>
          <w:sz w:val="28"/>
          <w:szCs w:val="28"/>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spacing w:val="-10"/>
          <w:sz w:val="28"/>
          <w:lang w:val="en-US" w:eastAsia="zh-CN"/>
        </w:rPr>
      </w:pPr>
      <w:r>
        <w:rPr>
          <w:rFonts w:hint="eastAsia" w:ascii="仿宋" w:hAnsi="仿宋" w:eastAsia="仿宋"/>
          <w:spacing w:val="-10"/>
          <w:sz w:val="28"/>
        </w:rPr>
        <w:t>报名时间：</w:t>
      </w:r>
      <w:r>
        <w:rPr>
          <w:rFonts w:hint="eastAsia" w:ascii="仿宋" w:hAnsi="仿宋"/>
          <w:spacing w:val="-10"/>
          <w:sz w:val="28"/>
          <w:lang w:eastAsia="zh-CN"/>
        </w:rPr>
        <w:t>即日起至</w:t>
      </w:r>
      <w:r>
        <w:rPr>
          <w:rFonts w:hint="eastAsia" w:ascii="仿宋" w:hAnsi="仿宋"/>
          <w:spacing w:val="-10"/>
          <w:sz w:val="28"/>
          <w:lang w:val="en-US" w:eastAsia="zh-CN"/>
        </w:rPr>
        <w:t>2024年4月19日11:00分（工作时间内）。</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报名所需资料：</w:t>
      </w:r>
      <w:r>
        <w:rPr>
          <w:rFonts w:hint="eastAsia" w:ascii="仿宋" w:hAnsi="仿宋" w:eastAsia="仿宋" w:cs="仿宋_GB2312"/>
          <w:color w:val="000000"/>
          <w:sz w:val="28"/>
          <w:szCs w:val="28"/>
          <w:lang w:eastAsia="zh-CN"/>
        </w:rPr>
        <w:t>报名表及报名表内所需资料</w:t>
      </w:r>
      <w:r>
        <w:rPr>
          <w:rFonts w:hint="eastAsia" w:ascii="仿宋" w:hAnsi="仿宋" w:eastAsia="仿宋" w:cs="仿宋_GB2312"/>
          <w:color w:val="000000"/>
          <w:sz w:val="28"/>
          <w:szCs w:val="28"/>
        </w:rPr>
        <w:t>。</w:t>
      </w:r>
    </w:p>
    <w:p>
      <w:pPr>
        <w:adjustRightInd w:val="0"/>
        <w:snapToGrid w:val="0"/>
        <w:spacing w:line="440" w:lineRule="exact"/>
        <w:outlineLvl w:val="0"/>
        <w:rPr>
          <w:rFonts w:hint="eastAsia" w:eastAsia="仿宋" w:asciiTheme="majorAscii" w:hAnsiTheme="majorAscii" w:cstheme="majorBidi"/>
          <w:b/>
          <w:bCs/>
          <w:kern w:val="2"/>
          <w:sz w:val="28"/>
          <w:szCs w:val="32"/>
          <w:lang w:val="en-US" w:eastAsia="zh-CN" w:bidi="ar-SA"/>
        </w:rPr>
      </w:pPr>
      <w:bookmarkStart w:id="30" w:name="_Toc17434"/>
      <w:r>
        <w:rPr>
          <w:rFonts w:hint="eastAsia" w:eastAsia="仿宋" w:asciiTheme="majorAscii" w:hAnsiTheme="majorAscii" w:cstheme="majorBidi"/>
          <w:b/>
          <w:bCs/>
          <w:kern w:val="2"/>
          <w:sz w:val="28"/>
          <w:szCs w:val="32"/>
          <w:lang w:val="en-US" w:eastAsia="zh-CN" w:bidi="ar-SA"/>
        </w:rPr>
        <w:t>四、递交投标文件及开标时间、地点</w:t>
      </w:r>
      <w:bookmarkEnd w:id="30"/>
      <w:r>
        <w:rPr>
          <w:rFonts w:hint="eastAsia" w:eastAsia="仿宋" w:asciiTheme="majorAscii" w:hAnsiTheme="majorAscii" w:cstheme="majorBidi"/>
          <w:b/>
          <w:bCs/>
          <w:kern w:val="2"/>
          <w:sz w:val="28"/>
          <w:szCs w:val="32"/>
          <w:lang w:val="en-US" w:eastAsia="zh-CN" w:bidi="ar-SA"/>
        </w:rPr>
        <w:t xml:space="preserve"> </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（一）递交投标文件时间：</w:t>
      </w:r>
      <w:r>
        <w:rPr>
          <w:rFonts w:hint="eastAsia" w:ascii="仿宋" w:hAnsi="仿宋" w:cs="宋体"/>
          <w:sz w:val="28"/>
          <w:szCs w:val="28"/>
          <w:lang w:eastAsia="zh-CN"/>
        </w:rPr>
        <w:t>202</w:t>
      </w:r>
      <w:r>
        <w:rPr>
          <w:rFonts w:hint="eastAsia" w:ascii="仿宋" w:hAnsi="仿宋" w:cs="宋体"/>
          <w:sz w:val="28"/>
          <w:szCs w:val="28"/>
          <w:lang w:val="en-US" w:eastAsia="zh-CN"/>
        </w:rPr>
        <w:t>4</w:t>
      </w:r>
      <w:r>
        <w:rPr>
          <w:rFonts w:hint="eastAsia" w:ascii="仿宋" w:hAnsi="仿宋" w:eastAsia="仿宋" w:cs="宋体"/>
          <w:sz w:val="28"/>
          <w:szCs w:val="28"/>
        </w:rPr>
        <w:t>年</w:t>
      </w:r>
      <w:r>
        <w:rPr>
          <w:rFonts w:hint="eastAsia" w:ascii="仿宋" w:hAnsi="仿宋"/>
          <w:spacing w:val="-10"/>
          <w:sz w:val="28"/>
          <w:lang w:val="en-US" w:eastAsia="zh-CN"/>
        </w:rPr>
        <w:t>4</w:t>
      </w:r>
      <w:r>
        <w:rPr>
          <w:rFonts w:hint="eastAsia" w:ascii="仿宋" w:hAnsi="仿宋" w:eastAsia="仿宋" w:cs="宋体"/>
          <w:sz w:val="28"/>
          <w:szCs w:val="28"/>
        </w:rPr>
        <w:t>月</w:t>
      </w:r>
      <w:r>
        <w:rPr>
          <w:rFonts w:hint="eastAsia" w:ascii="仿宋" w:hAnsi="仿宋" w:cs="宋体"/>
          <w:sz w:val="28"/>
          <w:szCs w:val="28"/>
          <w:lang w:val="en-US" w:eastAsia="zh-CN"/>
        </w:rPr>
        <w:t>19</w:t>
      </w:r>
      <w:r>
        <w:rPr>
          <w:rFonts w:hint="eastAsia" w:ascii="仿宋" w:hAnsi="仿宋" w:eastAsia="仿宋" w:cs="宋体"/>
          <w:sz w:val="28"/>
          <w:szCs w:val="28"/>
        </w:rPr>
        <w:t>日</w:t>
      </w:r>
      <w:r>
        <w:rPr>
          <w:rFonts w:hint="eastAsia" w:ascii="仿宋" w:hAnsi="仿宋" w:cs="宋体"/>
          <w:sz w:val="28"/>
          <w:szCs w:val="28"/>
          <w:lang w:val="en-US" w:eastAsia="zh-CN"/>
        </w:rPr>
        <w:t>15</w:t>
      </w:r>
      <w:r>
        <w:rPr>
          <w:rFonts w:hint="eastAsia" w:ascii="仿宋" w:hAnsi="仿宋" w:eastAsia="仿宋" w:cs="宋体"/>
          <w:sz w:val="28"/>
          <w:szCs w:val="28"/>
        </w:rPr>
        <w:t>：</w:t>
      </w:r>
      <w:r>
        <w:rPr>
          <w:rFonts w:hint="eastAsia" w:ascii="仿宋" w:hAnsi="仿宋" w:cs="宋体"/>
          <w:sz w:val="28"/>
          <w:szCs w:val="28"/>
          <w:lang w:val="en-US" w:eastAsia="zh-CN"/>
        </w:rPr>
        <w:t>0</w:t>
      </w:r>
      <w:r>
        <w:rPr>
          <w:rFonts w:hint="eastAsia" w:ascii="仿宋" w:hAnsi="仿宋" w:eastAsia="仿宋" w:cs="宋体"/>
          <w:sz w:val="28"/>
          <w:szCs w:val="28"/>
        </w:rPr>
        <w:t>0至</w:t>
      </w:r>
      <w:r>
        <w:rPr>
          <w:rFonts w:hint="eastAsia" w:ascii="仿宋" w:hAnsi="仿宋" w:cs="宋体"/>
          <w:sz w:val="28"/>
          <w:szCs w:val="28"/>
          <w:lang w:val="en-US" w:eastAsia="zh-CN"/>
        </w:rPr>
        <w:t>15</w:t>
      </w:r>
      <w:r>
        <w:rPr>
          <w:rFonts w:hint="eastAsia" w:ascii="仿宋" w:hAnsi="仿宋" w:eastAsia="仿宋" w:cs="宋体"/>
          <w:sz w:val="28"/>
          <w:szCs w:val="28"/>
        </w:rPr>
        <w:t>：</w:t>
      </w:r>
      <w:r>
        <w:rPr>
          <w:rFonts w:hint="eastAsia" w:ascii="仿宋" w:hAnsi="仿宋" w:cs="宋体"/>
          <w:sz w:val="28"/>
          <w:szCs w:val="28"/>
          <w:lang w:val="en-US" w:eastAsia="zh-CN"/>
        </w:rPr>
        <w:t>3</w:t>
      </w:r>
      <w:r>
        <w:rPr>
          <w:rFonts w:hint="eastAsia" w:ascii="仿宋" w:hAnsi="仿宋" w:eastAsia="仿宋" w:cs="宋体"/>
          <w:sz w:val="28"/>
          <w:szCs w:val="28"/>
        </w:rPr>
        <w:t>0，逾期不予受理。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（二）递交投标文件地点：</w:t>
      </w:r>
      <w:r>
        <w:rPr>
          <w:rFonts w:hint="eastAsia" w:ascii="仿宋" w:hAnsi="仿宋" w:eastAsia="仿宋" w:cs="宋体"/>
          <w:sz w:val="28"/>
          <w:szCs w:val="28"/>
        </w:rPr>
        <w:t>重庆市铜梁区人民医院行政楼四楼会议室三</w:t>
      </w:r>
      <w:r>
        <w:rPr>
          <w:rFonts w:hint="eastAsia" w:ascii="仿宋" w:hAnsi="仿宋" w:eastAsia="仿宋" w:cs="宋体"/>
          <w:spacing w:val="-10"/>
          <w:sz w:val="28"/>
          <w:szCs w:val="28"/>
        </w:rPr>
        <w:t>。</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（三）开标时间：</w:t>
      </w:r>
      <w:r>
        <w:rPr>
          <w:rFonts w:hint="eastAsia" w:ascii="仿宋" w:hAnsi="仿宋" w:cs="宋体"/>
          <w:sz w:val="28"/>
          <w:szCs w:val="28"/>
          <w:lang w:eastAsia="zh-CN"/>
        </w:rPr>
        <w:t>202</w:t>
      </w:r>
      <w:r>
        <w:rPr>
          <w:rFonts w:hint="eastAsia" w:ascii="仿宋" w:hAnsi="仿宋" w:cs="宋体"/>
          <w:sz w:val="28"/>
          <w:szCs w:val="28"/>
          <w:lang w:val="en-US" w:eastAsia="zh-CN"/>
        </w:rPr>
        <w:t>4</w:t>
      </w:r>
      <w:r>
        <w:rPr>
          <w:rFonts w:hint="eastAsia" w:ascii="仿宋" w:hAnsi="仿宋" w:eastAsia="仿宋" w:cs="宋体"/>
          <w:sz w:val="28"/>
          <w:szCs w:val="28"/>
        </w:rPr>
        <w:t>年</w:t>
      </w:r>
      <w:r>
        <w:rPr>
          <w:rFonts w:hint="eastAsia" w:ascii="仿宋" w:hAnsi="仿宋"/>
          <w:spacing w:val="-10"/>
          <w:sz w:val="28"/>
          <w:lang w:val="en-US" w:eastAsia="zh-CN"/>
        </w:rPr>
        <w:t>4</w:t>
      </w:r>
      <w:r>
        <w:rPr>
          <w:rFonts w:hint="eastAsia" w:ascii="仿宋" w:hAnsi="仿宋" w:eastAsia="仿宋" w:cs="宋体"/>
          <w:sz w:val="28"/>
          <w:szCs w:val="28"/>
        </w:rPr>
        <w:t>月</w:t>
      </w:r>
      <w:r>
        <w:rPr>
          <w:rFonts w:hint="eastAsia" w:ascii="仿宋" w:hAnsi="仿宋" w:cs="宋体"/>
          <w:sz w:val="28"/>
          <w:szCs w:val="28"/>
          <w:lang w:val="en-US" w:eastAsia="zh-CN"/>
        </w:rPr>
        <w:t>19</w:t>
      </w:r>
      <w:r>
        <w:rPr>
          <w:rFonts w:hint="eastAsia" w:ascii="仿宋" w:hAnsi="仿宋" w:eastAsia="仿宋" w:cs="宋体"/>
          <w:sz w:val="28"/>
          <w:szCs w:val="28"/>
        </w:rPr>
        <w:t>日</w:t>
      </w:r>
      <w:r>
        <w:rPr>
          <w:rFonts w:hint="eastAsia" w:ascii="仿宋" w:hAnsi="仿宋" w:cs="宋体"/>
          <w:sz w:val="28"/>
          <w:szCs w:val="28"/>
          <w:lang w:val="en-US" w:eastAsia="zh-CN"/>
        </w:rPr>
        <w:t>15</w:t>
      </w:r>
      <w:r>
        <w:rPr>
          <w:rFonts w:hint="eastAsia" w:ascii="仿宋" w:hAnsi="仿宋" w:eastAsia="仿宋" w:cs="宋体"/>
          <w:sz w:val="28"/>
          <w:szCs w:val="28"/>
        </w:rPr>
        <w:t>:</w:t>
      </w:r>
      <w:r>
        <w:rPr>
          <w:rFonts w:hint="eastAsia" w:ascii="仿宋" w:hAnsi="仿宋" w:cs="宋体"/>
          <w:sz w:val="28"/>
          <w:szCs w:val="28"/>
          <w:lang w:val="en-US" w:eastAsia="zh-CN"/>
        </w:rPr>
        <w:t>3</w:t>
      </w:r>
      <w:r>
        <w:rPr>
          <w:rFonts w:hint="eastAsia" w:ascii="仿宋" w:hAnsi="仿宋" w:eastAsia="仿宋" w:cs="宋体"/>
          <w:sz w:val="28"/>
          <w:szCs w:val="28"/>
        </w:rPr>
        <w:t>0。</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（四）开标地点：重庆市铜梁区人民医院行政楼</w:t>
      </w:r>
      <w:r>
        <w:rPr>
          <w:rFonts w:hint="eastAsia" w:ascii="仿宋" w:hAnsi="仿宋" w:eastAsia="仿宋" w:cs="宋体"/>
          <w:sz w:val="28"/>
          <w:szCs w:val="28"/>
        </w:rPr>
        <w:t>四楼会议室三</w:t>
      </w:r>
      <w:r>
        <w:rPr>
          <w:rFonts w:hint="eastAsia" w:ascii="仿宋" w:hAnsi="仿宋" w:eastAsia="仿宋" w:cs="宋体"/>
          <w:spacing w:val="-10"/>
          <w:sz w:val="28"/>
          <w:szCs w:val="28"/>
        </w:rPr>
        <w:t>。</w:t>
      </w:r>
    </w:p>
    <w:p>
      <w:pPr>
        <w:pStyle w:val="4"/>
        <w:bidi w:val="0"/>
        <w:outlineLvl w:val="0"/>
      </w:pPr>
      <w:bookmarkStart w:id="31" w:name="_Toc11771"/>
      <w:r>
        <w:rPr>
          <w:rFonts w:hint="eastAsia"/>
        </w:rPr>
        <w:t>五、项目联系人及电话</w:t>
      </w:r>
      <w:bookmarkEnd w:id="31"/>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 xml:space="preserve">采购单位联系人及电话：肖老师  胡老师  023-45651331。 </w:t>
      </w:r>
    </w:p>
    <w:p>
      <w:pPr>
        <w:pStyle w:val="4"/>
        <w:bidi w:val="0"/>
        <w:outlineLvl w:val="0"/>
      </w:pPr>
      <w:bookmarkStart w:id="32" w:name="_Toc29249"/>
      <w:r>
        <w:rPr>
          <w:rFonts w:hint="eastAsia"/>
        </w:rPr>
        <w:t>六、监督管理</w:t>
      </w:r>
      <w:bookmarkEnd w:id="32"/>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本项目采购过程由重庆市铜梁区人民医院</w:t>
      </w:r>
      <w:r>
        <w:rPr>
          <w:rFonts w:hint="eastAsia" w:ascii="仿宋" w:hAnsi="仿宋" w:cs="宋体"/>
          <w:spacing w:val="-10"/>
          <w:sz w:val="28"/>
          <w:szCs w:val="28"/>
          <w:lang w:eastAsia="zh-CN"/>
        </w:rPr>
        <w:t>纪委或</w:t>
      </w:r>
      <w:r>
        <w:rPr>
          <w:rFonts w:hint="eastAsia" w:ascii="仿宋" w:hAnsi="仿宋" w:eastAsia="仿宋" w:cs="宋体"/>
          <w:spacing w:val="-10"/>
          <w:sz w:val="28"/>
          <w:szCs w:val="28"/>
        </w:rPr>
        <w:t>审计负责全程参与，接受社会监督。</w:t>
      </w:r>
    </w:p>
    <w:p>
      <w:pPr>
        <w:pStyle w:val="4"/>
        <w:bidi w:val="0"/>
        <w:outlineLvl w:val="0"/>
      </w:pPr>
      <w:bookmarkStart w:id="33" w:name="_Toc23012"/>
      <w:r>
        <w:rPr>
          <w:rFonts w:hint="eastAsia"/>
        </w:rPr>
        <w:t>七、解释权</w:t>
      </w:r>
      <w:bookmarkEnd w:id="33"/>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本项目询价采购文件由重庆市铜梁区人民医院采购办负责解释。</w:t>
      </w:r>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bookmarkEnd w:id="23"/>
    <w:bookmarkEnd w:id="24"/>
    <w:p>
      <w:pPr>
        <w:pStyle w:val="3"/>
        <w:outlineLvl w:val="1"/>
      </w:pPr>
      <w:bookmarkStart w:id="34" w:name="_Toc15290408"/>
      <w:bookmarkStart w:id="35" w:name="_Toc5897"/>
      <w:r>
        <w:rPr>
          <w:rFonts w:hint="eastAsia"/>
        </w:rPr>
        <w:t>第二篇 采购项目技术及商务要求</w:t>
      </w:r>
      <w:bookmarkEnd w:id="34"/>
      <w:bookmarkEnd w:id="35"/>
    </w:p>
    <w:p>
      <w:pPr>
        <w:pStyle w:val="4"/>
        <w:bidi w:val="0"/>
        <w:outlineLvl w:val="0"/>
      </w:pPr>
      <w:bookmarkStart w:id="36" w:name="_Toc3869"/>
      <w:r>
        <w:rPr>
          <w:rFonts w:hint="eastAsia"/>
        </w:rPr>
        <w:t>一、采购项目基本情况及限价</w:t>
      </w:r>
      <w:bookmarkEnd w:id="36"/>
    </w:p>
    <w:tbl>
      <w:tblPr>
        <w:tblStyle w:val="17"/>
        <w:tblW w:w="9662"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1158"/>
        <w:gridCol w:w="1859"/>
        <w:gridCol w:w="2103"/>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90" w:type="dxa"/>
            <w:vAlign w:val="center"/>
          </w:tcPr>
          <w:p>
            <w:pPr>
              <w:adjustRightInd w:val="0"/>
              <w:snapToGrid w:val="0"/>
              <w:spacing w:line="440" w:lineRule="exact"/>
              <w:ind w:firstLine="138" w:firstLineChars="50"/>
              <w:jc w:val="center"/>
              <w:rPr>
                <w:rFonts w:hint="eastAsia" w:ascii="仿宋" w:hAnsi="仿宋" w:eastAsia="仿宋" w:cs="宋体"/>
                <w:spacing w:val="-2"/>
                <w:sz w:val="28"/>
                <w:szCs w:val="28"/>
              </w:rPr>
            </w:pPr>
            <w:r>
              <w:rPr>
                <w:rFonts w:hint="eastAsia" w:ascii="仿宋" w:hAnsi="仿宋" w:eastAsia="仿宋" w:cs="宋体"/>
                <w:spacing w:val="-2"/>
                <w:sz w:val="28"/>
                <w:szCs w:val="28"/>
              </w:rPr>
              <w:t>项 目 名 称</w:t>
            </w:r>
          </w:p>
        </w:tc>
        <w:tc>
          <w:tcPr>
            <w:tcW w:w="1158"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数量</w:t>
            </w:r>
          </w:p>
        </w:tc>
        <w:tc>
          <w:tcPr>
            <w:tcW w:w="1859"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预算单价</w:t>
            </w:r>
          </w:p>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（万元）</w:t>
            </w:r>
          </w:p>
        </w:tc>
        <w:tc>
          <w:tcPr>
            <w:tcW w:w="2103"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预算总金额</w:t>
            </w:r>
          </w:p>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 xml:space="preserve"> （万元）</w:t>
            </w:r>
          </w:p>
        </w:tc>
        <w:tc>
          <w:tcPr>
            <w:tcW w:w="2152"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90" w:type="dxa"/>
            <w:vAlign w:val="center"/>
          </w:tcPr>
          <w:p>
            <w:pPr>
              <w:adjustRightInd w:val="0"/>
              <w:snapToGrid w:val="0"/>
              <w:spacing w:line="440" w:lineRule="exact"/>
              <w:ind w:firstLine="138" w:firstLineChars="50"/>
              <w:jc w:val="center"/>
              <w:rPr>
                <w:rFonts w:hint="eastAsia" w:ascii="仿宋" w:hAnsi="仿宋" w:eastAsia="仿宋" w:cs="宋体"/>
                <w:spacing w:val="-2"/>
                <w:sz w:val="28"/>
                <w:szCs w:val="28"/>
              </w:rPr>
            </w:pPr>
            <w:r>
              <w:rPr>
                <w:rFonts w:hint="eastAsia" w:ascii="仿宋" w:hAnsi="仿宋" w:cs="宋体"/>
                <w:spacing w:val="-2"/>
                <w:sz w:val="28"/>
                <w:szCs w:val="28"/>
                <w:lang w:val="en-US" w:eastAsia="zh-CN"/>
              </w:rPr>
              <w:t>PBL教室</w:t>
            </w:r>
          </w:p>
        </w:tc>
        <w:tc>
          <w:tcPr>
            <w:tcW w:w="1158" w:type="dxa"/>
            <w:vAlign w:val="center"/>
          </w:tcPr>
          <w:p>
            <w:pPr>
              <w:widowControl/>
              <w:jc w:val="center"/>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1套</w:t>
            </w:r>
          </w:p>
        </w:tc>
        <w:tc>
          <w:tcPr>
            <w:tcW w:w="1859" w:type="dxa"/>
            <w:vAlign w:val="center"/>
          </w:tcPr>
          <w:p>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24.2013</w:t>
            </w:r>
          </w:p>
        </w:tc>
        <w:tc>
          <w:tcPr>
            <w:tcW w:w="2103" w:type="dxa"/>
            <w:vAlign w:val="center"/>
          </w:tcPr>
          <w:p>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24.2013</w:t>
            </w:r>
          </w:p>
        </w:tc>
        <w:tc>
          <w:tcPr>
            <w:tcW w:w="2152" w:type="dxa"/>
            <w:vAlign w:val="center"/>
          </w:tcPr>
          <w:p>
            <w:pPr>
              <w:widowControl/>
              <w:ind w:firstLine="240" w:firstLineChars="100"/>
              <w:jc w:val="center"/>
              <w:rPr>
                <w:rFonts w:hint="eastAsia" w:ascii="宋体" w:hAnsi="宋体" w:eastAsia="仿宋" w:cs="宋体"/>
                <w:color w:val="auto"/>
                <w:kern w:val="0"/>
                <w:sz w:val="24"/>
                <w:szCs w:val="24"/>
                <w:lang w:val="en-US" w:eastAsia="zh-CN" w:bidi="ar-SA"/>
              </w:rPr>
            </w:pPr>
            <w:r>
              <w:rPr>
                <w:rFonts w:hint="eastAsia" w:ascii="宋体" w:hAnsi="宋体" w:cs="宋体"/>
                <w:kern w:val="0"/>
                <w:sz w:val="24"/>
                <w:szCs w:val="24"/>
                <w:lang w:val="en-US" w:eastAsia="zh-CN"/>
              </w:rPr>
              <w:t>教务科</w:t>
            </w:r>
            <w:r>
              <w:rPr>
                <w:rFonts w:hint="eastAsia" w:ascii="宋体" w:hAnsi="宋体" w:cs="宋体"/>
                <w:kern w:val="0"/>
                <w:sz w:val="24"/>
                <w:szCs w:val="24"/>
              </w:rPr>
              <w:t xml:space="preserve"> </w:t>
            </w:r>
          </w:p>
        </w:tc>
      </w:tr>
    </w:tbl>
    <w:p>
      <w:pPr>
        <w:pStyle w:val="4"/>
        <w:bidi w:val="0"/>
        <w:outlineLvl w:val="0"/>
        <w:rPr>
          <w:rFonts w:hint="eastAsia" w:eastAsia="仿宋"/>
          <w:color w:val="auto"/>
          <w:lang w:eastAsia="zh-CN"/>
        </w:rPr>
      </w:pPr>
      <w:bookmarkStart w:id="37" w:name="_Toc13640"/>
      <w:r>
        <w:rPr>
          <w:rFonts w:hint="eastAsia"/>
          <w:color w:val="auto"/>
        </w:rPr>
        <w:t>二、技术要求</w:t>
      </w:r>
      <w:r>
        <w:rPr>
          <w:rFonts w:hint="eastAsia"/>
          <w:color w:val="auto"/>
          <w:lang w:eastAsia="zh-CN"/>
        </w:rPr>
        <w:t>及明细</w:t>
      </w:r>
      <w:bookmarkEnd w:id="37"/>
    </w:p>
    <w:tbl>
      <w:tblPr>
        <w:tblStyle w:val="17"/>
        <w:tblW w:w="102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14"/>
        <w:gridCol w:w="680"/>
        <w:gridCol w:w="1026"/>
        <w:gridCol w:w="4498"/>
        <w:gridCol w:w="500"/>
        <w:gridCol w:w="527"/>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5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15" name="Line_47"/>
                  <wp:cNvGraphicFramePr/>
                  <a:graphic xmlns:a="http://schemas.openxmlformats.org/drawingml/2006/main">
                    <a:graphicData uri="http://schemas.openxmlformats.org/drawingml/2006/picture">
                      <pic:pic xmlns:pic="http://schemas.openxmlformats.org/drawingml/2006/picture">
                        <pic:nvPicPr>
                          <pic:cNvPr id="415" name="Line_4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14" name="Line_49"/>
                  <wp:cNvGraphicFramePr/>
                  <a:graphic xmlns:a="http://schemas.openxmlformats.org/drawingml/2006/main">
                    <a:graphicData uri="http://schemas.openxmlformats.org/drawingml/2006/picture">
                      <pic:pic xmlns:pic="http://schemas.openxmlformats.org/drawingml/2006/picture">
                        <pic:nvPicPr>
                          <pic:cNvPr id="414" name="Line_49"/>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16" name="Line_57"/>
                  <wp:cNvGraphicFramePr/>
                  <a:graphic xmlns:a="http://schemas.openxmlformats.org/drawingml/2006/main">
                    <a:graphicData uri="http://schemas.openxmlformats.org/drawingml/2006/picture">
                      <pic:pic xmlns:pic="http://schemas.openxmlformats.org/drawingml/2006/picture">
                        <pic:nvPicPr>
                          <pic:cNvPr id="416" name="Line_5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17" name="Line_49_SpCnt_1"/>
                  <wp:cNvGraphicFramePr/>
                  <a:graphic xmlns:a="http://schemas.openxmlformats.org/drawingml/2006/main">
                    <a:graphicData uri="http://schemas.openxmlformats.org/drawingml/2006/picture">
                      <pic:pic xmlns:pic="http://schemas.openxmlformats.org/drawingml/2006/picture">
                        <pic:nvPicPr>
                          <pic:cNvPr id="417" name="Line_49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19" name="Line_57_SpCnt_1"/>
                  <wp:cNvGraphicFramePr/>
                  <a:graphic xmlns:a="http://schemas.openxmlformats.org/drawingml/2006/main">
                    <a:graphicData uri="http://schemas.openxmlformats.org/drawingml/2006/picture">
                      <pic:pic xmlns:pic="http://schemas.openxmlformats.org/drawingml/2006/picture">
                        <pic:nvPicPr>
                          <pic:cNvPr id="419" name="Line_57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18" name="Line_49_SpCnt_2"/>
                  <wp:cNvGraphicFramePr/>
                  <a:graphic xmlns:a="http://schemas.openxmlformats.org/drawingml/2006/main">
                    <a:graphicData uri="http://schemas.openxmlformats.org/drawingml/2006/picture">
                      <pic:pic xmlns:pic="http://schemas.openxmlformats.org/drawingml/2006/picture">
                        <pic:nvPicPr>
                          <pic:cNvPr id="418" name="Line_49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20" name="Line_57_SpCnt_2"/>
                  <wp:cNvGraphicFramePr/>
                  <a:graphic xmlns:a="http://schemas.openxmlformats.org/drawingml/2006/main">
                    <a:graphicData uri="http://schemas.openxmlformats.org/drawingml/2006/picture">
                      <pic:pic xmlns:pic="http://schemas.openxmlformats.org/drawingml/2006/picture">
                        <pic:nvPicPr>
                          <pic:cNvPr id="420" name="Line_57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21" name="Line_56"/>
                  <wp:cNvGraphicFramePr/>
                  <a:graphic xmlns:a="http://schemas.openxmlformats.org/drawingml/2006/main">
                    <a:graphicData uri="http://schemas.openxmlformats.org/drawingml/2006/picture">
                      <pic:pic xmlns:pic="http://schemas.openxmlformats.org/drawingml/2006/picture">
                        <pic:nvPicPr>
                          <pic:cNvPr id="421" name="Line_56"/>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22" name="Line_48"/>
                  <wp:cNvGraphicFramePr/>
                  <a:graphic xmlns:a="http://schemas.openxmlformats.org/drawingml/2006/main">
                    <a:graphicData uri="http://schemas.openxmlformats.org/drawingml/2006/picture">
                      <pic:pic xmlns:pic="http://schemas.openxmlformats.org/drawingml/2006/picture">
                        <pic:nvPicPr>
                          <pic:cNvPr id="422" name="Line_48"/>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23" name="Line_55"/>
                  <wp:cNvGraphicFramePr/>
                  <a:graphic xmlns:a="http://schemas.openxmlformats.org/drawingml/2006/main">
                    <a:graphicData uri="http://schemas.openxmlformats.org/drawingml/2006/picture">
                      <pic:pic xmlns:pic="http://schemas.openxmlformats.org/drawingml/2006/picture">
                        <pic:nvPicPr>
                          <pic:cNvPr id="423" name="Line_55"/>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24" name="Line_50"/>
                  <wp:cNvGraphicFramePr/>
                  <a:graphic xmlns:a="http://schemas.openxmlformats.org/drawingml/2006/main">
                    <a:graphicData uri="http://schemas.openxmlformats.org/drawingml/2006/picture">
                      <pic:pic xmlns:pic="http://schemas.openxmlformats.org/drawingml/2006/picture">
                        <pic:nvPicPr>
                          <pic:cNvPr id="424" name="Line_50"/>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25" name="Line_56_SpCnt_1"/>
                  <wp:cNvGraphicFramePr/>
                  <a:graphic xmlns:a="http://schemas.openxmlformats.org/drawingml/2006/main">
                    <a:graphicData uri="http://schemas.openxmlformats.org/drawingml/2006/picture">
                      <pic:pic xmlns:pic="http://schemas.openxmlformats.org/drawingml/2006/picture">
                        <pic:nvPicPr>
                          <pic:cNvPr id="425" name="Line_56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26" name="Line_47_SpCnt_1"/>
                  <wp:cNvGraphicFramePr/>
                  <a:graphic xmlns:a="http://schemas.openxmlformats.org/drawingml/2006/main">
                    <a:graphicData uri="http://schemas.openxmlformats.org/drawingml/2006/picture">
                      <pic:pic xmlns:pic="http://schemas.openxmlformats.org/drawingml/2006/picture">
                        <pic:nvPicPr>
                          <pic:cNvPr id="426" name="Line_47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27" name="Line_49_SpCnt_3"/>
                  <wp:cNvGraphicFramePr/>
                  <a:graphic xmlns:a="http://schemas.openxmlformats.org/drawingml/2006/main">
                    <a:graphicData uri="http://schemas.openxmlformats.org/drawingml/2006/picture">
                      <pic:pic xmlns:pic="http://schemas.openxmlformats.org/drawingml/2006/picture">
                        <pic:nvPicPr>
                          <pic:cNvPr id="427" name="Line_49_SpCnt_3"/>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28" name="Line_48_SpCnt_1"/>
                  <wp:cNvGraphicFramePr/>
                  <a:graphic xmlns:a="http://schemas.openxmlformats.org/drawingml/2006/main">
                    <a:graphicData uri="http://schemas.openxmlformats.org/drawingml/2006/picture">
                      <pic:pic xmlns:pic="http://schemas.openxmlformats.org/drawingml/2006/picture">
                        <pic:nvPicPr>
                          <pic:cNvPr id="428" name="Line_48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29" name="Line_69"/>
                  <wp:cNvGraphicFramePr/>
                  <a:graphic xmlns:a="http://schemas.openxmlformats.org/drawingml/2006/main">
                    <a:graphicData uri="http://schemas.openxmlformats.org/drawingml/2006/picture">
                      <pic:pic xmlns:pic="http://schemas.openxmlformats.org/drawingml/2006/picture">
                        <pic:nvPicPr>
                          <pic:cNvPr id="429" name="Line_69"/>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30" name="Line_68"/>
                  <wp:cNvGraphicFramePr/>
                  <a:graphic xmlns:a="http://schemas.openxmlformats.org/drawingml/2006/main">
                    <a:graphicData uri="http://schemas.openxmlformats.org/drawingml/2006/picture">
                      <pic:pic xmlns:pic="http://schemas.openxmlformats.org/drawingml/2006/picture">
                        <pic:nvPicPr>
                          <pic:cNvPr id="430" name="Line_68"/>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31" name="Line_67"/>
                  <wp:cNvGraphicFramePr/>
                  <a:graphic xmlns:a="http://schemas.openxmlformats.org/drawingml/2006/main">
                    <a:graphicData uri="http://schemas.openxmlformats.org/drawingml/2006/picture">
                      <pic:pic xmlns:pic="http://schemas.openxmlformats.org/drawingml/2006/picture">
                        <pic:nvPicPr>
                          <pic:cNvPr id="431" name="Line_6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32" name="Line_66"/>
                  <wp:cNvGraphicFramePr/>
                  <a:graphic xmlns:a="http://schemas.openxmlformats.org/drawingml/2006/main">
                    <a:graphicData uri="http://schemas.openxmlformats.org/drawingml/2006/picture">
                      <pic:pic xmlns:pic="http://schemas.openxmlformats.org/drawingml/2006/picture">
                        <pic:nvPicPr>
                          <pic:cNvPr id="432" name="Line_66"/>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33" name="Line_65"/>
                  <wp:cNvGraphicFramePr/>
                  <a:graphic xmlns:a="http://schemas.openxmlformats.org/drawingml/2006/main">
                    <a:graphicData uri="http://schemas.openxmlformats.org/drawingml/2006/picture">
                      <pic:pic xmlns:pic="http://schemas.openxmlformats.org/drawingml/2006/picture">
                        <pic:nvPicPr>
                          <pic:cNvPr id="433" name="Line_65"/>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34" name="Line_57_SpCnt_3"/>
                  <wp:cNvGraphicFramePr/>
                  <a:graphic xmlns:a="http://schemas.openxmlformats.org/drawingml/2006/main">
                    <a:graphicData uri="http://schemas.openxmlformats.org/drawingml/2006/picture">
                      <pic:pic xmlns:pic="http://schemas.openxmlformats.org/drawingml/2006/picture">
                        <pic:nvPicPr>
                          <pic:cNvPr id="434" name="Line_57_SpCnt_3"/>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35" name="Line_56_SpCnt_2"/>
                  <wp:cNvGraphicFramePr/>
                  <a:graphic xmlns:a="http://schemas.openxmlformats.org/drawingml/2006/main">
                    <a:graphicData uri="http://schemas.openxmlformats.org/drawingml/2006/picture">
                      <pic:pic xmlns:pic="http://schemas.openxmlformats.org/drawingml/2006/picture">
                        <pic:nvPicPr>
                          <pic:cNvPr id="435" name="Line_56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36" name="Line_55_SpCnt_1"/>
                  <wp:cNvGraphicFramePr/>
                  <a:graphic xmlns:a="http://schemas.openxmlformats.org/drawingml/2006/main">
                    <a:graphicData uri="http://schemas.openxmlformats.org/drawingml/2006/picture">
                      <pic:pic xmlns:pic="http://schemas.openxmlformats.org/drawingml/2006/picture">
                        <pic:nvPicPr>
                          <pic:cNvPr id="436" name="Line_55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37" name="Line_50_SpCnt_1"/>
                  <wp:cNvGraphicFramePr/>
                  <a:graphic xmlns:a="http://schemas.openxmlformats.org/drawingml/2006/main">
                    <a:graphicData uri="http://schemas.openxmlformats.org/drawingml/2006/picture">
                      <pic:pic xmlns:pic="http://schemas.openxmlformats.org/drawingml/2006/picture">
                        <pic:nvPicPr>
                          <pic:cNvPr id="437" name="Line_50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38" name="Line_49_SpCnt_4"/>
                  <wp:cNvGraphicFramePr/>
                  <a:graphic xmlns:a="http://schemas.openxmlformats.org/drawingml/2006/main">
                    <a:graphicData uri="http://schemas.openxmlformats.org/drawingml/2006/picture">
                      <pic:pic xmlns:pic="http://schemas.openxmlformats.org/drawingml/2006/picture">
                        <pic:nvPicPr>
                          <pic:cNvPr id="438" name="Line_49_SpCnt_4"/>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39" name="Line_48_SpCnt_2"/>
                  <wp:cNvGraphicFramePr/>
                  <a:graphic xmlns:a="http://schemas.openxmlformats.org/drawingml/2006/main">
                    <a:graphicData uri="http://schemas.openxmlformats.org/drawingml/2006/picture">
                      <pic:pic xmlns:pic="http://schemas.openxmlformats.org/drawingml/2006/picture">
                        <pic:nvPicPr>
                          <pic:cNvPr id="439" name="Line_48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40" name="Line_47_SpCnt_2"/>
                  <wp:cNvGraphicFramePr/>
                  <a:graphic xmlns:a="http://schemas.openxmlformats.org/drawingml/2006/main">
                    <a:graphicData uri="http://schemas.openxmlformats.org/drawingml/2006/picture">
                      <pic:pic xmlns:pic="http://schemas.openxmlformats.org/drawingml/2006/picture">
                        <pic:nvPicPr>
                          <pic:cNvPr id="440" name="Line_47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41" name="Line_69_SpCnt_1"/>
                  <wp:cNvGraphicFramePr/>
                  <a:graphic xmlns:a="http://schemas.openxmlformats.org/drawingml/2006/main">
                    <a:graphicData uri="http://schemas.openxmlformats.org/drawingml/2006/picture">
                      <pic:pic xmlns:pic="http://schemas.openxmlformats.org/drawingml/2006/picture">
                        <pic:nvPicPr>
                          <pic:cNvPr id="441" name="Line_69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42" name="Line_68_SpCnt_1"/>
                  <wp:cNvGraphicFramePr/>
                  <a:graphic xmlns:a="http://schemas.openxmlformats.org/drawingml/2006/main">
                    <a:graphicData uri="http://schemas.openxmlformats.org/drawingml/2006/picture">
                      <pic:pic xmlns:pic="http://schemas.openxmlformats.org/drawingml/2006/picture">
                        <pic:nvPicPr>
                          <pic:cNvPr id="442" name="Line_68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43" name="Line_67_SpCnt_1"/>
                  <wp:cNvGraphicFramePr/>
                  <a:graphic xmlns:a="http://schemas.openxmlformats.org/drawingml/2006/main">
                    <a:graphicData uri="http://schemas.openxmlformats.org/drawingml/2006/picture">
                      <pic:pic xmlns:pic="http://schemas.openxmlformats.org/drawingml/2006/picture">
                        <pic:nvPicPr>
                          <pic:cNvPr id="443" name="Line_67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44" name="Line_66_SpCnt_1"/>
                  <wp:cNvGraphicFramePr/>
                  <a:graphic xmlns:a="http://schemas.openxmlformats.org/drawingml/2006/main">
                    <a:graphicData uri="http://schemas.openxmlformats.org/drawingml/2006/picture">
                      <pic:pic xmlns:pic="http://schemas.openxmlformats.org/drawingml/2006/picture">
                        <pic:nvPicPr>
                          <pic:cNvPr id="444" name="Line_66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45" name="Line_65_SpCnt_1"/>
                  <wp:cNvGraphicFramePr/>
                  <a:graphic xmlns:a="http://schemas.openxmlformats.org/drawingml/2006/main">
                    <a:graphicData uri="http://schemas.openxmlformats.org/drawingml/2006/picture">
                      <pic:pic xmlns:pic="http://schemas.openxmlformats.org/drawingml/2006/picture">
                        <pic:nvPicPr>
                          <pic:cNvPr id="445" name="Line_65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46" name="Line_69_SpCnt_2"/>
                  <wp:cNvGraphicFramePr/>
                  <a:graphic xmlns:a="http://schemas.openxmlformats.org/drawingml/2006/main">
                    <a:graphicData uri="http://schemas.openxmlformats.org/drawingml/2006/picture">
                      <pic:pic xmlns:pic="http://schemas.openxmlformats.org/drawingml/2006/picture">
                        <pic:nvPicPr>
                          <pic:cNvPr id="446" name="Line_69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47" name="Line_47_SpCnt_3"/>
                  <wp:cNvGraphicFramePr/>
                  <a:graphic xmlns:a="http://schemas.openxmlformats.org/drawingml/2006/main">
                    <a:graphicData uri="http://schemas.openxmlformats.org/drawingml/2006/picture">
                      <pic:pic xmlns:pic="http://schemas.openxmlformats.org/drawingml/2006/picture">
                        <pic:nvPicPr>
                          <pic:cNvPr id="447" name="Line_47_SpCnt_3"/>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48" name="Line_69_SpCnt_3"/>
                  <wp:cNvGraphicFramePr/>
                  <a:graphic xmlns:a="http://schemas.openxmlformats.org/drawingml/2006/main">
                    <a:graphicData uri="http://schemas.openxmlformats.org/drawingml/2006/picture">
                      <pic:pic xmlns:pic="http://schemas.openxmlformats.org/drawingml/2006/picture">
                        <pic:nvPicPr>
                          <pic:cNvPr id="448" name="Line_69_SpCnt_3"/>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49" name="Line_48_SpCnt_3"/>
                  <wp:cNvGraphicFramePr/>
                  <a:graphic xmlns:a="http://schemas.openxmlformats.org/drawingml/2006/main">
                    <a:graphicData uri="http://schemas.openxmlformats.org/drawingml/2006/picture">
                      <pic:pic xmlns:pic="http://schemas.openxmlformats.org/drawingml/2006/picture">
                        <pic:nvPicPr>
                          <pic:cNvPr id="449" name="Line_48_SpCnt_3"/>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50" name="Line_55_SpCnt_2"/>
                  <wp:cNvGraphicFramePr/>
                  <a:graphic xmlns:a="http://schemas.openxmlformats.org/drawingml/2006/main">
                    <a:graphicData uri="http://schemas.openxmlformats.org/drawingml/2006/picture">
                      <pic:pic xmlns:pic="http://schemas.openxmlformats.org/drawingml/2006/picture">
                        <pic:nvPicPr>
                          <pic:cNvPr id="450" name="Line_55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51" name="Line_68_SpCnt_2"/>
                  <wp:cNvGraphicFramePr/>
                  <a:graphic xmlns:a="http://schemas.openxmlformats.org/drawingml/2006/main">
                    <a:graphicData uri="http://schemas.openxmlformats.org/drawingml/2006/picture">
                      <pic:pic xmlns:pic="http://schemas.openxmlformats.org/drawingml/2006/picture">
                        <pic:nvPicPr>
                          <pic:cNvPr id="451" name="Line_68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52" name="Line_68_SpCnt_3"/>
                  <wp:cNvGraphicFramePr/>
                  <a:graphic xmlns:a="http://schemas.openxmlformats.org/drawingml/2006/main">
                    <a:graphicData uri="http://schemas.openxmlformats.org/drawingml/2006/picture">
                      <pic:pic xmlns:pic="http://schemas.openxmlformats.org/drawingml/2006/picture">
                        <pic:nvPicPr>
                          <pic:cNvPr id="452" name="Line_68_SpCnt_3"/>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53" name="Line_67_SpCnt_2"/>
                  <wp:cNvGraphicFramePr/>
                  <a:graphic xmlns:a="http://schemas.openxmlformats.org/drawingml/2006/main">
                    <a:graphicData uri="http://schemas.openxmlformats.org/drawingml/2006/picture">
                      <pic:pic xmlns:pic="http://schemas.openxmlformats.org/drawingml/2006/picture">
                        <pic:nvPicPr>
                          <pic:cNvPr id="453" name="Line_67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54" name="Line_67_SpCnt_3"/>
                  <wp:cNvGraphicFramePr/>
                  <a:graphic xmlns:a="http://schemas.openxmlformats.org/drawingml/2006/main">
                    <a:graphicData uri="http://schemas.openxmlformats.org/drawingml/2006/picture">
                      <pic:pic xmlns:pic="http://schemas.openxmlformats.org/drawingml/2006/picture">
                        <pic:nvPicPr>
                          <pic:cNvPr id="454" name="Line_67_SpCnt_3"/>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13" name="Line_65_SpCnt_2"/>
                  <wp:cNvGraphicFramePr/>
                  <a:graphic xmlns:a="http://schemas.openxmlformats.org/drawingml/2006/main">
                    <a:graphicData uri="http://schemas.openxmlformats.org/drawingml/2006/picture">
                      <pic:pic xmlns:pic="http://schemas.openxmlformats.org/drawingml/2006/picture">
                        <pic:nvPicPr>
                          <pic:cNvPr id="413" name="Line_65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41" name="Line_66_SpCnt_2"/>
                  <wp:cNvGraphicFramePr/>
                  <a:graphic xmlns:a="http://schemas.openxmlformats.org/drawingml/2006/main">
                    <a:graphicData uri="http://schemas.openxmlformats.org/drawingml/2006/picture">
                      <pic:pic xmlns:pic="http://schemas.openxmlformats.org/drawingml/2006/picture">
                        <pic:nvPicPr>
                          <pic:cNvPr id="341" name="Line_66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42" name="Line_57_SpCnt_4"/>
                  <wp:cNvGraphicFramePr/>
                  <a:graphic xmlns:a="http://schemas.openxmlformats.org/drawingml/2006/main">
                    <a:graphicData uri="http://schemas.openxmlformats.org/drawingml/2006/picture">
                      <pic:pic xmlns:pic="http://schemas.openxmlformats.org/drawingml/2006/picture">
                        <pic:nvPicPr>
                          <pic:cNvPr id="342" name="Line_57_SpCnt_4"/>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43" name="Line_56_SpCnt_3"/>
                  <wp:cNvGraphicFramePr/>
                  <a:graphic xmlns:a="http://schemas.openxmlformats.org/drawingml/2006/main">
                    <a:graphicData uri="http://schemas.openxmlformats.org/drawingml/2006/picture">
                      <pic:pic xmlns:pic="http://schemas.openxmlformats.org/drawingml/2006/picture">
                        <pic:nvPicPr>
                          <pic:cNvPr id="343" name="Line_56_SpCnt_3"/>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44" name="Line_55_SpCnt_3"/>
                  <wp:cNvGraphicFramePr/>
                  <a:graphic xmlns:a="http://schemas.openxmlformats.org/drawingml/2006/main">
                    <a:graphicData uri="http://schemas.openxmlformats.org/drawingml/2006/picture">
                      <pic:pic xmlns:pic="http://schemas.openxmlformats.org/drawingml/2006/picture">
                        <pic:nvPicPr>
                          <pic:cNvPr id="344" name="Line_55_SpCnt_3"/>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45" name="Line_50_SpCnt_2"/>
                  <wp:cNvGraphicFramePr/>
                  <a:graphic xmlns:a="http://schemas.openxmlformats.org/drawingml/2006/main">
                    <a:graphicData uri="http://schemas.openxmlformats.org/drawingml/2006/picture">
                      <pic:pic xmlns:pic="http://schemas.openxmlformats.org/drawingml/2006/picture">
                        <pic:nvPicPr>
                          <pic:cNvPr id="345" name="Line_50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46" name="Line_49_SpCnt_5"/>
                  <wp:cNvGraphicFramePr/>
                  <a:graphic xmlns:a="http://schemas.openxmlformats.org/drawingml/2006/main">
                    <a:graphicData uri="http://schemas.openxmlformats.org/drawingml/2006/picture">
                      <pic:pic xmlns:pic="http://schemas.openxmlformats.org/drawingml/2006/picture">
                        <pic:nvPicPr>
                          <pic:cNvPr id="346" name="Line_49_SpCnt_5"/>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47" name="Line_48_SpCnt_4"/>
                  <wp:cNvGraphicFramePr/>
                  <a:graphic xmlns:a="http://schemas.openxmlformats.org/drawingml/2006/main">
                    <a:graphicData uri="http://schemas.openxmlformats.org/drawingml/2006/picture">
                      <pic:pic xmlns:pic="http://schemas.openxmlformats.org/drawingml/2006/picture">
                        <pic:nvPicPr>
                          <pic:cNvPr id="347" name="Line_48_SpCnt_4"/>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48" name="Line_47_SpCnt_4"/>
                  <wp:cNvGraphicFramePr/>
                  <a:graphic xmlns:a="http://schemas.openxmlformats.org/drawingml/2006/main">
                    <a:graphicData uri="http://schemas.openxmlformats.org/drawingml/2006/picture">
                      <pic:pic xmlns:pic="http://schemas.openxmlformats.org/drawingml/2006/picture">
                        <pic:nvPicPr>
                          <pic:cNvPr id="348" name="Line_47_SpCnt_4"/>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49" name="Line_69_SpCnt_4"/>
                  <wp:cNvGraphicFramePr/>
                  <a:graphic xmlns:a="http://schemas.openxmlformats.org/drawingml/2006/main">
                    <a:graphicData uri="http://schemas.openxmlformats.org/drawingml/2006/picture">
                      <pic:pic xmlns:pic="http://schemas.openxmlformats.org/drawingml/2006/picture">
                        <pic:nvPicPr>
                          <pic:cNvPr id="349" name="Line_69_SpCnt_4"/>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50" name="Line_68_SpCnt_4"/>
                  <wp:cNvGraphicFramePr/>
                  <a:graphic xmlns:a="http://schemas.openxmlformats.org/drawingml/2006/main">
                    <a:graphicData uri="http://schemas.openxmlformats.org/drawingml/2006/picture">
                      <pic:pic xmlns:pic="http://schemas.openxmlformats.org/drawingml/2006/picture">
                        <pic:nvPicPr>
                          <pic:cNvPr id="350" name="Line_68_SpCnt_4"/>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51" name="Line_67_SpCnt_4"/>
                  <wp:cNvGraphicFramePr/>
                  <a:graphic xmlns:a="http://schemas.openxmlformats.org/drawingml/2006/main">
                    <a:graphicData uri="http://schemas.openxmlformats.org/drawingml/2006/picture">
                      <pic:pic xmlns:pic="http://schemas.openxmlformats.org/drawingml/2006/picture">
                        <pic:nvPicPr>
                          <pic:cNvPr id="351" name="Line_67_SpCnt_4"/>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52" name="Line_66_SpCnt_3"/>
                  <wp:cNvGraphicFramePr/>
                  <a:graphic xmlns:a="http://schemas.openxmlformats.org/drawingml/2006/main">
                    <a:graphicData uri="http://schemas.openxmlformats.org/drawingml/2006/picture">
                      <pic:pic xmlns:pic="http://schemas.openxmlformats.org/drawingml/2006/picture">
                        <pic:nvPicPr>
                          <pic:cNvPr id="352" name="Line_66_SpCnt_3"/>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53" name="Line_65_SpCnt_3"/>
                  <wp:cNvGraphicFramePr/>
                  <a:graphic xmlns:a="http://schemas.openxmlformats.org/drawingml/2006/main">
                    <a:graphicData uri="http://schemas.openxmlformats.org/drawingml/2006/picture">
                      <pic:pic xmlns:pic="http://schemas.openxmlformats.org/drawingml/2006/picture">
                        <pic:nvPicPr>
                          <pic:cNvPr id="353" name="Line_65_SpCnt_3"/>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54" name="Line_57_SpCnt_5"/>
                  <wp:cNvGraphicFramePr/>
                  <a:graphic xmlns:a="http://schemas.openxmlformats.org/drawingml/2006/main">
                    <a:graphicData uri="http://schemas.openxmlformats.org/drawingml/2006/picture">
                      <pic:pic xmlns:pic="http://schemas.openxmlformats.org/drawingml/2006/picture">
                        <pic:nvPicPr>
                          <pic:cNvPr id="354" name="Line_57_SpCnt_5"/>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55" name="Line_56_SpCnt_4"/>
                  <wp:cNvGraphicFramePr/>
                  <a:graphic xmlns:a="http://schemas.openxmlformats.org/drawingml/2006/main">
                    <a:graphicData uri="http://schemas.openxmlformats.org/drawingml/2006/picture">
                      <pic:pic xmlns:pic="http://schemas.openxmlformats.org/drawingml/2006/picture">
                        <pic:nvPicPr>
                          <pic:cNvPr id="355" name="Line_56_SpCnt_4"/>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56" name="Line_55_SpCnt_4"/>
                  <wp:cNvGraphicFramePr/>
                  <a:graphic xmlns:a="http://schemas.openxmlformats.org/drawingml/2006/main">
                    <a:graphicData uri="http://schemas.openxmlformats.org/drawingml/2006/picture">
                      <pic:pic xmlns:pic="http://schemas.openxmlformats.org/drawingml/2006/picture">
                        <pic:nvPicPr>
                          <pic:cNvPr id="356" name="Line_55_SpCnt_4"/>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57" name="Line_50_SpCnt_3"/>
                  <wp:cNvGraphicFramePr/>
                  <a:graphic xmlns:a="http://schemas.openxmlformats.org/drawingml/2006/main">
                    <a:graphicData uri="http://schemas.openxmlformats.org/drawingml/2006/picture">
                      <pic:pic xmlns:pic="http://schemas.openxmlformats.org/drawingml/2006/picture">
                        <pic:nvPicPr>
                          <pic:cNvPr id="357" name="Line_50_SpCnt_3"/>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58" name="Line_49_SpCnt_6"/>
                  <wp:cNvGraphicFramePr/>
                  <a:graphic xmlns:a="http://schemas.openxmlformats.org/drawingml/2006/main">
                    <a:graphicData uri="http://schemas.openxmlformats.org/drawingml/2006/picture">
                      <pic:pic xmlns:pic="http://schemas.openxmlformats.org/drawingml/2006/picture">
                        <pic:nvPicPr>
                          <pic:cNvPr id="358" name="Line_49_SpCnt_6"/>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59" name="Line_48_SpCnt_5"/>
                  <wp:cNvGraphicFramePr/>
                  <a:graphic xmlns:a="http://schemas.openxmlformats.org/drawingml/2006/main">
                    <a:graphicData uri="http://schemas.openxmlformats.org/drawingml/2006/picture">
                      <pic:pic xmlns:pic="http://schemas.openxmlformats.org/drawingml/2006/picture">
                        <pic:nvPicPr>
                          <pic:cNvPr id="359" name="Line_48_SpCnt_5"/>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60" name="Line_47_SpCnt_5"/>
                  <wp:cNvGraphicFramePr/>
                  <a:graphic xmlns:a="http://schemas.openxmlformats.org/drawingml/2006/main">
                    <a:graphicData uri="http://schemas.openxmlformats.org/drawingml/2006/picture">
                      <pic:pic xmlns:pic="http://schemas.openxmlformats.org/drawingml/2006/picture">
                        <pic:nvPicPr>
                          <pic:cNvPr id="360" name="Line_47_SpCnt_5"/>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61" name="Line_69_SpCnt_5"/>
                  <wp:cNvGraphicFramePr/>
                  <a:graphic xmlns:a="http://schemas.openxmlformats.org/drawingml/2006/main">
                    <a:graphicData uri="http://schemas.openxmlformats.org/drawingml/2006/picture">
                      <pic:pic xmlns:pic="http://schemas.openxmlformats.org/drawingml/2006/picture">
                        <pic:nvPicPr>
                          <pic:cNvPr id="361" name="Line_69_SpCnt_5"/>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62" name="Line_68_SpCnt_5"/>
                  <wp:cNvGraphicFramePr/>
                  <a:graphic xmlns:a="http://schemas.openxmlformats.org/drawingml/2006/main">
                    <a:graphicData uri="http://schemas.openxmlformats.org/drawingml/2006/picture">
                      <pic:pic xmlns:pic="http://schemas.openxmlformats.org/drawingml/2006/picture">
                        <pic:nvPicPr>
                          <pic:cNvPr id="362" name="Line_68_SpCnt_5"/>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63" name="Line_67_SpCnt_5"/>
                  <wp:cNvGraphicFramePr/>
                  <a:graphic xmlns:a="http://schemas.openxmlformats.org/drawingml/2006/main">
                    <a:graphicData uri="http://schemas.openxmlformats.org/drawingml/2006/picture">
                      <pic:pic xmlns:pic="http://schemas.openxmlformats.org/drawingml/2006/picture">
                        <pic:nvPicPr>
                          <pic:cNvPr id="363" name="Line_67_SpCnt_5"/>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64" name="Line_66_SpCnt_4"/>
                  <wp:cNvGraphicFramePr/>
                  <a:graphic xmlns:a="http://schemas.openxmlformats.org/drawingml/2006/main">
                    <a:graphicData uri="http://schemas.openxmlformats.org/drawingml/2006/picture">
                      <pic:pic xmlns:pic="http://schemas.openxmlformats.org/drawingml/2006/picture">
                        <pic:nvPicPr>
                          <pic:cNvPr id="364" name="Line_66_SpCnt_4"/>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65" name="Line_65_SpCnt_4"/>
                  <wp:cNvGraphicFramePr/>
                  <a:graphic xmlns:a="http://schemas.openxmlformats.org/drawingml/2006/main">
                    <a:graphicData uri="http://schemas.openxmlformats.org/drawingml/2006/picture">
                      <pic:pic xmlns:pic="http://schemas.openxmlformats.org/drawingml/2006/picture">
                        <pic:nvPicPr>
                          <pic:cNvPr id="365" name="Line_65_SpCnt_4"/>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66" name="Line_57_SpCnt_6"/>
                  <wp:cNvGraphicFramePr/>
                  <a:graphic xmlns:a="http://schemas.openxmlformats.org/drawingml/2006/main">
                    <a:graphicData uri="http://schemas.openxmlformats.org/drawingml/2006/picture">
                      <pic:pic xmlns:pic="http://schemas.openxmlformats.org/drawingml/2006/picture">
                        <pic:nvPicPr>
                          <pic:cNvPr id="366" name="Line_57_SpCnt_6"/>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67" name="Line_56_SpCnt_5"/>
                  <wp:cNvGraphicFramePr/>
                  <a:graphic xmlns:a="http://schemas.openxmlformats.org/drawingml/2006/main">
                    <a:graphicData uri="http://schemas.openxmlformats.org/drawingml/2006/picture">
                      <pic:pic xmlns:pic="http://schemas.openxmlformats.org/drawingml/2006/picture">
                        <pic:nvPicPr>
                          <pic:cNvPr id="367" name="Line_56_SpCnt_5"/>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68" name="Line_55_SpCnt_5"/>
                  <wp:cNvGraphicFramePr/>
                  <a:graphic xmlns:a="http://schemas.openxmlformats.org/drawingml/2006/main">
                    <a:graphicData uri="http://schemas.openxmlformats.org/drawingml/2006/picture">
                      <pic:pic xmlns:pic="http://schemas.openxmlformats.org/drawingml/2006/picture">
                        <pic:nvPicPr>
                          <pic:cNvPr id="368" name="Line_55_SpCnt_5"/>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69" name="Line_50_SpCnt_4"/>
                  <wp:cNvGraphicFramePr/>
                  <a:graphic xmlns:a="http://schemas.openxmlformats.org/drawingml/2006/main">
                    <a:graphicData uri="http://schemas.openxmlformats.org/drawingml/2006/picture">
                      <pic:pic xmlns:pic="http://schemas.openxmlformats.org/drawingml/2006/picture">
                        <pic:nvPicPr>
                          <pic:cNvPr id="369" name="Line_50_SpCnt_4"/>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70" name="Line_49_SpCnt_7"/>
                  <wp:cNvGraphicFramePr/>
                  <a:graphic xmlns:a="http://schemas.openxmlformats.org/drawingml/2006/main">
                    <a:graphicData uri="http://schemas.openxmlformats.org/drawingml/2006/picture">
                      <pic:pic xmlns:pic="http://schemas.openxmlformats.org/drawingml/2006/picture">
                        <pic:nvPicPr>
                          <pic:cNvPr id="370" name="Line_49_SpCnt_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71" name="Line_48_SpCnt_6"/>
                  <wp:cNvGraphicFramePr/>
                  <a:graphic xmlns:a="http://schemas.openxmlformats.org/drawingml/2006/main">
                    <a:graphicData uri="http://schemas.openxmlformats.org/drawingml/2006/picture">
                      <pic:pic xmlns:pic="http://schemas.openxmlformats.org/drawingml/2006/picture">
                        <pic:nvPicPr>
                          <pic:cNvPr id="371" name="Line_48_SpCnt_6"/>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72" name="Line_47_SpCnt_6"/>
                  <wp:cNvGraphicFramePr/>
                  <a:graphic xmlns:a="http://schemas.openxmlformats.org/drawingml/2006/main">
                    <a:graphicData uri="http://schemas.openxmlformats.org/drawingml/2006/picture">
                      <pic:pic xmlns:pic="http://schemas.openxmlformats.org/drawingml/2006/picture">
                        <pic:nvPicPr>
                          <pic:cNvPr id="372" name="Line_47_SpCnt_6"/>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73" name="Line_69_SpCnt_6"/>
                  <wp:cNvGraphicFramePr/>
                  <a:graphic xmlns:a="http://schemas.openxmlformats.org/drawingml/2006/main">
                    <a:graphicData uri="http://schemas.openxmlformats.org/drawingml/2006/picture">
                      <pic:pic xmlns:pic="http://schemas.openxmlformats.org/drawingml/2006/picture">
                        <pic:nvPicPr>
                          <pic:cNvPr id="373" name="Line_69_SpCnt_6"/>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74" name="Line_68_SpCnt_6"/>
                  <wp:cNvGraphicFramePr/>
                  <a:graphic xmlns:a="http://schemas.openxmlformats.org/drawingml/2006/main">
                    <a:graphicData uri="http://schemas.openxmlformats.org/drawingml/2006/picture">
                      <pic:pic xmlns:pic="http://schemas.openxmlformats.org/drawingml/2006/picture">
                        <pic:nvPicPr>
                          <pic:cNvPr id="374" name="Line_68_SpCnt_6"/>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75" name="Line_67_SpCnt_6"/>
                  <wp:cNvGraphicFramePr/>
                  <a:graphic xmlns:a="http://schemas.openxmlformats.org/drawingml/2006/main">
                    <a:graphicData uri="http://schemas.openxmlformats.org/drawingml/2006/picture">
                      <pic:pic xmlns:pic="http://schemas.openxmlformats.org/drawingml/2006/picture">
                        <pic:nvPicPr>
                          <pic:cNvPr id="375" name="Line_67_SpCnt_6"/>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76" name="Line_66_SpCnt_5"/>
                  <wp:cNvGraphicFramePr/>
                  <a:graphic xmlns:a="http://schemas.openxmlformats.org/drawingml/2006/main">
                    <a:graphicData uri="http://schemas.openxmlformats.org/drawingml/2006/picture">
                      <pic:pic xmlns:pic="http://schemas.openxmlformats.org/drawingml/2006/picture">
                        <pic:nvPicPr>
                          <pic:cNvPr id="376" name="Line_66_SpCnt_5"/>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05" name="Line_65_SpCnt_5"/>
                  <wp:cNvGraphicFramePr/>
                  <a:graphic xmlns:a="http://schemas.openxmlformats.org/drawingml/2006/main">
                    <a:graphicData uri="http://schemas.openxmlformats.org/drawingml/2006/picture">
                      <pic:pic xmlns:pic="http://schemas.openxmlformats.org/drawingml/2006/picture">
                        <pic:nvPicPr>
                          <pic:cNvPr id="305" name="Line_65_SpCnt_5"/>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06" name="Line_57_SpCnt_7"/>
                  <wp:cNvGraphicFramePr/>
                  <a:graphic xmlns:a="http://schemas.openxmlformats.org/drawingml/2006/main">
                    <a:graphicData uri="http://schemas.openxmlformats.org/drawingml/2006/picture">
                      <pic:pic xmlns:pic="http://schemas.openxmlformats.org/drawingml/2006/picture">
                        <pic:nvPicPr>
                          <pic:cNvPr id="306" name="Line_57_SpCnt_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07" name="Line_56_SpCnt_6"/>
                  <wp:cNvGraphicFramePr/>
                  <a:graphic xmlns:a="http://schemas.openxmlformats.org/drawingml/2006/main">
                    <a:graphicData uri="http://schemas.openxmlformats.org/drawingml/2006/picture">
                      <pic:pic xmlns:pic="http://schemas.openxmlformats.org/drawingml/2006/picture">
                        <pic:nvPicPr>
                          <pic:cNvPr id="307" name="Line_56_SpCnt_6"/>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08" name="Line_55_SpCnt_6"/>
                  <wp:cNvGraphicFramePr/>
                  <a:graphic xmlns:a="http://schemas.openxmlformats.org/drawingml/2006/main">
                    <a:graphicData uri="http://schemas.openxmlformats.org/drawingml/2006/picture">
                      <pic:pic xmlns:pic="http://schemas.openxmlformats.org/drawingml/2006/picture">
                        <pic:nvPicPr>
                          <pic:cNvPr id="308" name="Line_55_SpCnt_6"/>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09" name="Line_50_SpCnt_5"/>
                  <wp:cNvGraphicFramePr/>
                  <a:graphic xmlns:a="http://schemas.openxmlformats.org/drawingml/2006/main">
                    <a:graphicData uri="http://schemas.openxmlformats.org/drawingml/2006/picture">
                      <pic:pic xmlns:pic="http://schemas.openxmlformats.org/drawingml/2006/picture">
                        <pic:nvPicPr>
                          <pic:cNvPr id="309" name="Line_50_SpCnt_5"/>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10" name="Line_49_SpCnt_8"/>
                  <wp:cNvGraphicFramePr/>
                  <a:graphic xmlns:a="http://schemas.openxmlformats.org/drawingml/2006/main">
                    <a:graphicData uri="http://schemas.openxmlformats.org/drawingml/2006/picture">
                      <pic:pic xmlns:pic="http://schemas.openxmlformats.org/drawingml/2006/picture">
                        <pic:nvPicPr>
                          <pic:cNvPr id="310" name="Line_49_SpCnt_8"/>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11" name="Line_48_SpCnt_7"/>
                  <wp:cNvGraphicFramePr/>
                  <a:graphic xmlns:a="http://schemas.openxmlformats.org/drawingml/2006/main">
                    <a:graphicData uri="http://schemas.openxmlformats.org/drawingml/2006/picture">
                      <pic:pic xmlns:pic="http://schemas.openxmlformats.org/drawingml/2006/picture">
                        <pic:nvPicPr>
                          <pic:cNvPr id="311" name="Line_48_SpCnt_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12" name="Line_47_SpCnt_7"/>
                  <wp:cNvGraphicFramePr/>
                  <a:graphic xmlns:a="http://schemas.openxmlformats.org/drawingml/2006/main">
                    <a:graphicData uri="http://schemas.openxmlformats.org/drawingml/2006/picture">
                      <pic:pic xmlns:pic="http://schemas.openxmlformats.org/drawingml/2006/picture">
                        <pic:nvPicPr>
                          <pic:cNvPr id="312" name="Line_47_SpCnt_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13" name="Line_69_SpCnt_7"/>
                  <wp:cNvGraphicFramePr/>
                  <a:graphic xmlns:a="http://schemas.openxmlformats.org/drawingml/2006/main">
                    <a:graphicData uri="http://schemas.openxmlformats.org/drawingml/2006/picture">
                      <pic:pic xmlns:pic="http://schemas.openxmlformats.org/drawingml/2006/picture">
                        <pic:nvPicPr>
                          <pic:cNvPr id="313" name="Line_69_SpCnt_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14" name="Line_68_SpCnt_7"/>
                  <wp:cNvGraphicFramePr/>
                  <a:graphic xmlns:a="http://schemas.openxmlformats.org/drawingml/2006/main">
                    <a:graphicData uri="http://schemas.openxmlformats.org/drawingml/2006/picture">
                      <pic:pic xmlns:pic="http://schemas.openxmlformats.org/drawingml/2006/picture">
                        <pic:nvPicPr>
                          <pic:cNvPr id="314" name="Line_68_SpCnt_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15" name="Line_67_SpCnt_7"/>
                  <wp:cNvGraphicFramePr/>
                  <a:graphic xmlns:a="http://schemas.openxmlformats.org/drawingml/2006/main">
                    <a:graphicData uri="http://schemas.openxmlformats.org/drawingml/2006/picture">
                      <pic:pic xmlns:pic="http://schemas.openxmlformats.org/drawingml/2006/picture">
                        <pic:nvPicPr>
                          <pic:cNvPr id="315" name="Line_67_SpCnt_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16" name="Line_66_SpCnt_6"/>
                  <wp:cNvGraphicFramePr/>
                  <a:graphic xmlns:a="http://schemas.openxmlformats.org/drawingml/2006/main">
                    <a:graphicData uri="http://schemas.openxmlformats.org/drawingml/2006/picture">
                      <pic:pic xmlns:pic="http://schemas.openxmlformats.org/drawingml/2006/picture">
                        <pic:nvPicPr>
                          <pic:cNvPr id="316" name="Line_66_SpCnt_6"/>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17" name="Line_65_SpCnt_6"/>
                  <wp:cNvGraphicFramePr/>
                  <a:graphic xmlns:a="http://schemas.openxmlformats.org/drawingml/2006/main">
                    <a:graphicData uri="http://schemas.openxmlformats.org/drawingml/2006/picture">
                      <pic:pic xmlns:pic="http://schemas.openxmlformats.org/drawingml/2006/picture">
                        <pic:nvPicPr>
                          <pic:cNvPr id="317" name="Line_65_SpCnt_6"/>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18" name="Line_57_SpCnt_8"/>
                  <wp:cNvGraphicFramePr/>
                  <a:graphic xmlns:a="http://schemas.openxmlformats.org/drawingml/2006/main">
                    <a:graphicData uri="http://schemas.openxmlformats.org/drawingml/2006/picture">
                      <pic:pic xmlns:pic="http://schemas.openxmlformats.org/drawingml/2006/picture">
                        <pic:nvPicPr>
                          <pic:cNvPr id="318" name="Line_57_SpCnt_8"/>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19" name="Line_56_SpCnt_7"/>
                  <wp:cNvGraphicFramePr/>
                  <a:graphic xmlns:a="http://schemas.openxmlformats.org/drawingml/2006/main">
                    <a:graphicData uri="http://schemas.openxmlformats.org/drawingml/2006/picture">
                      <pic:pic xmlns:pic="http://schemas.openxmlformats.org/drawingml/2006/picture">
                        <pic:nvPicPr>
                          <pic:cNvPr id="319" name="Line_56_SpCnt_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20" name="Line_55_SpCnt_7"/>
                  <wp:cNvGraphicFramePr/>
                  <a:graphic xmlns:a="http://schemas.openxmlformats.org/drawingml/2006/main">
                    <a:graphicData uri="http://schemas.openxmlformats.org/drawingml/2006/picture">
                      <pic:pic xmlns:pic="http://schemas.openxmlformats.org/drawingml/2006/picture">
                        <pic:nvPicPr>
                          <pic:cNvPr id="320" name="Line_55_SpCnt_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21" name="Line_50_SpCnt_6"/>
                  <wp:cNvGraphicFramePr/>
                  <a:graphic xmlns:a="http://schemas.openxmlformats.org/drawingml/2006/main">
                    <a:graphicData uri="http://schemas.openxmlformats.org/drawingml/2006/picture">
                      <pic:pic xmlns:pic="http://schemas.openxmlformats.org/drawingml/2006/picture">
                        <pic:nvPicPr>
                          <pic:cNvPr id="321" name="Line_50_SpCnt_6"/>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22" name="Line_50_SpCnt_7"/>
                  <wp:cNvGraphicFramePr/>
                  <a:graphic xmlns:a="http://schemas.openxmlformats.org/drawingml/2006/main">
                    <a:graphicData uri="http://schemas.openxmlformats.org/drawingml/2006/picture">
                      <pic:pic xmlns:pic="http://schemas.openxmlformats.org/drawingml/2006/picture">
                        <pic:nvPicPr>
                          <pic:cNvPr id="322" name="Line_50_SpCnt_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23" name="Line_66_SpCnt_7"/>
                  <wp:cNvGraphicFramePr/>
                  <a:graphic xmlns:a="http://schemas.openxmlformats.org/drawingml/2006/main">
                    <a:graphicData uri="http://schemas.openxmlformats.org/drawingml/2006/picture">
                      <pic:pic xmlns:pic="http://schemas.openxmlformats.org/drawingml/2006/picture">
                        <pic:nvPicPr>
                          <pic:cNvPr id="323" name="Line_66_SpCnt_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24" name="Line_65_SpCnt_7"/>
                  <wp:cNvGraphicFramePr/>
                  <a:graphic xmlns:a="http://schemas.openxmlformats.org/drawingml/2006/main">
                    <a:graphicData uri="http://schemas.openxmlformats.org/drawingml/2006/picture">
                      <pic:pic xmlns:pic="http://schemas.openxmlformats.org/drawingml/2006/picture">
                        <pic:nvPicPr>
                          <pic:cNvPr id="324" name="Line_65_SpCnt_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25" name="Line_56_SpCnt_8"/>
                  <wp:cNvGraphicFramePr/>
                  <a:graphic xmlns:a="http://schemas.openxmlformats.org/drawingml/2006/main">
                    <a:graphicData uri="http://schemas.openxmlformats.org/drawingml/2006/picture">
                      <pic:pic xmlns:pic="http://schemas.openxmlformats.org/drawingml/2006/picture">
                        <pic:nvPicPr>
                          <pic:cNvPr id="325" name="Line_56_SpCnt_8"/>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26" name="Line_47_SpCnt_8"/>
                  <wp:cNvGraphicFramePr/>
                  <a:graphic xmlns:a="http://schemas.openxmlformats.org/drawingml/2006/main">
                    <a:graphicData uri="http://schemas.openxmlformats.org/drawingml/2006/picture">
                      <pic:pic xmlns:pic="http://schemas.openxmlformats.org/drawingml/2006/picture">
                        <pic:nvPicPr>
                          <pic:cNvPr id="326" name="Line_47_SpCnt_8"/>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27" name="Line_49_SpCnt_9"/>
                  <wp:cNvGraphicFramePr/>
                  <a:graphic xmlns:a="http://schemas.openxmlformats.org/drawingml/2006/main">
                    <a:graphicData uri="http://schemas.openxmlformats.org/drawingml/2006/picture">
                      <pic:pic xmlns:pic="http://schemas.openxmlformats.org/drawingml/2006/picture">
                        <pic:nvPicPr>
                          <pic:cNvPr id="327" name="Line_49_SpCnt_9"/>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28" name="Line_57_SpCnt_9"/>
                  <wp:cNvGraphicFramePr/>
                  <a:graphic xmlns:a="http://schemas.openxmlformats.org/drawingml/2006/main">
                    <a:graphicData uri="http://schemas.openxmlformats.org/drawingml/2006/picture">
                      <pic:pic xmlns:pic="http://schemas.openxmlformats.org/drawingml/2006/picture">
                        <pic:nvPicPr>
                          <pic:cNvPr id="328" name="Line_57_SpCnt_9"/>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29" name="Line_56_SpCnt_9"/>
                  <wp:cNvGraphicFramePr/>
                  <a:graphic xmlns:a="http://schemas.openxmlformats.org/drawingml/2006/main">
                    <a:graphicData uri="http://schemas.openxmlformats.org/drawingml/2006/picture">
                      <pic:pic xmlns:pic="http://schemas.openxmlformats.org/drawingml/2006/picture">
                        <pic:nvPicPr>
                          <pic:cNvPr id="329" name="Line_56_SpCnt_9"/>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30" name="Line_48_SpCnt_8"/>
                  <wp:cNvGraphicFramePr/>
                  <a:graphic xmlns:a="http://schemas.openxmlformats.org/drawingml/2006/main">
                    <a:graphicData uri="http://schemas.openxmlformats.org/drawingml/2006/picture">
                      <pic:pic xmlns:pic="http://schemas.openxmlformats.org/drawingml/2006/picture">
                        <pic:nvPicPr>
                          <pic:cNvPr id="330" name="Line_48_SpCnt_8"/>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31" name="Line_50_SpCnt_8"/>
                  <wp:cNvGraphicFramePr/>
                  <a:graphic xmlns:a="http://schemas.openxmlformats.org/drawingml/2006/main">
                    <a:graphicData uri="http://schemas.openxmlformats.org/drawingml/2006/picture">
                      <pic:pic xmlns:pic="http://schemas.openxmlformats.org/drawingml/2006/picture">
                        <pic:nvPicPr>
                          <pic:cNvPr id="331" name="Line_50_SpCnt_8"/>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32" name="Line_55_SpCnt_8"/>
                  <wp:cNvGraphicFramePr/>
                  <a:graphic xmlns:a="http://schemas.openxmlformats.org/drawingml/2006/main">
                    <a:graphicData uri="http://schemas.openxmlformats.org/drawingml/2006/picture">
                      <pic:pic xmlns:pic="http://schemas.openxmlformats.org/drawingml/2006/picture">
                        <pic:nvPicPr>
                          <pic:cNvPr id="332" name="Line_55_SpCnt_8"/>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33" name="Line_49_SpCnt_10"/>
                  <wp:cNvGraphicFramePr/>
                  <a:graphic xmlns:a="http://schemas.openxmlformats.org/drawingml/2006/main">
                    <a:graphicData uri="http://schemas.openxmlformats.org/drawingml/2006/picture">
                      <pic:pic xmlns:pic="http://schemas.openxmlformats.org/drawingml/2006/picture">
                        <pic:nvPicPr>
                          <pic:cNvPr id="333" name="Line_49_SpCnt_10"/>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34" name="Line_48_SpCnt_9"/>
                  <wp:cNvGraphicFramePr/>
                  <a:graphic xmlns:a="http://schemas.openxmlformats.org/drawingml/2006/main">
                    <a:graphicData uri="http://schemas.openxmlformats.org/drawingml/2006/picture">
                      <pic:pic xmlns:pic="http://schemas.openxmlformats.org/drawingml/2006/picture">
                        <pic:nvPicPr>
                          <pic:cNvPr id="334" name="Line_48_SpCnt_9"/>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35" name="Line_47_SpCnt_9"/>
                  <wp:cNvGraphicFramePr/>
                  <a:graphic xmlns:a="http://schemas.openxmlformats.org/drawingml/2006/main">
                    <a:graphicData uri="http://schemas.openxmlformats.org/drawingml/2006/picture">
                      <pic:pic xmlns:pic="http://schemas.openxmlformats.org/drawingml/2006/picture">
                        <pic:nvPicPr>
                          <pic:cNvPr id="335" name="Line_47_SpCnt_9"/>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36" name="Line_69_SpCnt_8"/>
                  <wp:cNvGraphicFramePr/>
                  <a:graphic xmlns:a="http://schemas.openxmlformats.org/drawingml/2006/main">
                    <a:graphicData uri="http://schemas.openxmlformats.org/drawingml/2006/picture">
                      <pic:pic xmlns:pic="http://schemas.openxmlformats.org/drawingml/2006/picture">
                        <pic:nvPicPr>
                          <pic:cNvPr id="336" name="Line_69_SpCnt_8"/>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37" name="Line_68_SpCnt_8"/>
                  <wp:cNvGraphicFramePr/>
                  <a:graphic xmlns:a="http://schemas.openxmlformats.org/drawingml/2006/main">
                    <a:graphicData uri="http://schemas.openxmlformats.org/drawingml/2006/picture">
                      <pic:pic xmlns:pic="http://schemas.openxmlformats.org/drawingml/2006/picture">
                        <pic:nvPicPr>
                          <pic:cNvPr id="337" name="Line_68_SpCnt_8"/>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38" name="Line_67_SpCnt_8"/>
                  <wp:cNvGraphicFramePr/>
                  <a:graphic xmlns:a="http://schemas.openxmlformats.org/drawingml/2006/main">
                    <a:graphicData uri="http://schemas.openxmlformats.org/drawingml/2006/picture">
                      <pic:pic xmlns:pic="http://schemas.openxmlformats.org/drawingml/2006/picture">
                        <pic:nvPicPr>
                          <pic:cNvPr id="338" name="Line_67_SpCnt_8"/>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39" name="Line_66_SpCnt_8"/>
                  <wp:cNvGraphicFramePr/>
                  <a:graphic xmlns:a="http://schemas.openxmlformats.org/drawingml/2006/main">
                    <a:graphicData uri="http://schemas.openxmlformats.org/drawingml/2006/picture">
                      <pic:pic xmlns:pic="http://schemas.openxmlformats.org/drawingml/2006/picture">
                        <pic:nvPicPr>
                          <pic:cNvPr id="339" name="Line_66_SpCnt_8"/>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40" name="Line_65_SpCnt_8"/>
                  <wp:cNvGraphicFramePr/>
                  <a:graphic xmlns:a="http://schemas.openxmlformats.org/drawingml/2006/main">
                    <a:graphicData uri="http://schemas.openxmlformats.org/drawingml/2006/picture">
                      <pic:pic xmlns:pic="http://schemas.openxmlformats.org/drawingml/2006/picture">
                        <pic:nvPicPr>
                          <pic:cNvPr id="340" name="Line_65_SpCnt_8"/>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77" name="Line_57_SpCnt_10"/>
                  <wp:cNvGraphicFramePr/>
                  <a:graphic xmlns:a="http://schemas.openxmlformats.org/drawingml/2006/main">
                    <a:graphicData uri="http://schemas.openxmlformats.org/drawingml/2006/picture">
                      <pic:pic xmlns:pic="http://schemas.openxmlformats.org/drawingml/2006/picture">
                        <pic:nvPicPr>
                          <pic:cNvPr id="377" name="Line_57_SpCnt_10"/>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78" name="Line_56_SpCnt_10"/>
                  <wp:cNvGraphicFramePr/>
                  <a:graphic xmlns:a="http://schemas.openxmlformats.org/drawingml/2006/main">
                    <a:graphicData uri="http://schemas.openxmlformats.org/drawingml/2006/picture">
                      <pic:pic xmlns:pic="http://schemas.openxmlformats.org/drawingml/2006/picture">
                        <pic:nvPicPr>
                          <pic:cNvPr id="378" name="Line_56_SpCnt_10"/>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79" name="Line_55_SpCnt_9"/>
                  <wp:cNvGraphicFramePr/>
                  <a:graphic xmlns:a="http://schemas.openxmlformats.org/drawingml/2006/main">
                    <a:graphicData uri="http://schemas.openxmlformats.org/drawingml/2006/picture">
                      <pic:pic xmlns:pic="http://schemas.openxmlformats.org/drawingml/2006/picture">
                        <pic:nvPicPr>
                          <pic:cNvPr id="379" name="Line_55_SpCnt_9"/>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80" name="Line_50_SpCnt_9"/>
                  <wp:cNvGraphicFramePr/>
                  <a:graphic xmlns:a="http://schemas.openxmlformats.org/drawingml/2006/main">
                    <a:graphicData uri="http://schemas.openxmlformats.org/drawingml/2006/picture">
                      <pic:pic xmlns:pic="http://schemas.openxmlformats.org/drawingml/2006/picture">
                        <pic:nvPicPr>
                          <pic:cNvPr id="380" name="Line_50_SpCnt_9"/>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81" name="Line_49_SpCnt_11"/>
                  <wp:cNvGraphicFramePr/>
                  <a:graphic xmlns:a="http://schemas.openxmlformats.org/drawingml/2006/main">
                    <a:graphicData uri="http://schemas.openxmlformats.org/drawingml/2006/picture">
                      <pic:pic xmlns:pic="http://schemas.openxmlformats.org/drawingml/2006/picture">
                        <pic:nvPicPr>
                          <pic:cNvPr id="381" name="Line_49_SpCnt_1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82" name="Line_48_SpCnt_10"/>
                  <wp:cNvGraphicFramePr/>
                  <a:graphic xmlns:a="http://schemas.openxmlformats.org/drawingml/2006/main">
                    <a:graphicData uri="http://schemas.openxmlformats.org/drawingml/2006/picture">
                      <pic:pic xmlns:pic="http://schemas.openxmlformats.org/drawingml/2006/picture">
                        <pic:nvPicPr>
                          <pic:cNvPr id="382" name="Line_48_SpCnt_10"/>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83" name="Line_47_SpCnt_10"/>
                  <wp:cNvGraphicFramePr/>
                  <a:graphic xmlns:a="http://schemas.openxmlformats.org/drawingml/2006/main">
                    <a:graphicData uri="http://schemas.openxmlformats.org/drawingml/2006/picture">
                      <pic:pic xmlns:pic="http://schemas.openxmlformats.org/drawingml/2006/picture">
                        <pic:nvPicPr>
                          <pic:cNvPr id="383" name="Line_47_SpCnt_10"/>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84" name="Line_69_SpCnt_9"/>
                  <wp:cNvGraphicFramePr/>
                  <a:graphic xmlns:a="http://schemas.openxmlformats.org/drawingml/2006/main">
                    <a:graphicData uri="http://schemas.openxmlformats.org/drawingml/2006/picture">
                      <pic:pic xmlns:pic="http://schemas.openxmlformats.org/drawingml/2006/picture">
                        <pic:nvPicPr>
                          <pic:cNvPr id="384" name="Line_69_SpCnt_9"/>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85" name="Line_68_SpCnt_9"/>
                  <wp:cNvGraphicFramePr/>
                  <a:graphic xmlns:a="http://schemas.openxmlformats.org/drawingml/2006/main">
                    <a:graphicData uri="http://schemas.openxmlformats.org/drawingml/2006/picture">
                      <pic:pic xmlns:pic="http://schemas.openxmlformats.org/drawingml/2006/picture">
                        <pic:nvPicPr>
                          <pic:cNvPr id="385" name="Line_68_SpCnt_9"/>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86" name="Line_67_SpCnt_9"/>
                  <wp:cNvGraphicFramePr/>
                  <a:graphic xmlns:a="http://schemas.openxmlformats.org/drawingml/2006/main">
                    <a:graphicData uri="http://schemas.openxmlformats.org/drawingml/2006/picture">
                      <pic:pic xmlns:pic="http://schemas.openxmlformats.org/drawingml/2006/picture">
                        <pic:nvPicPr>
                          <pic:cNvPr id="386" name="Line_67_SpCnt_9"/>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87" name="Line_66_SpCnt_9"/>
                  <wp:cNvGraphicFramePr/>
                  <a:graphic xmlns:a="http://schemas.openxmlformats.org/drawingml/2006/main">
                    <a:graphicData uri="http://schemas.openxmlformats.org/drawingml/2006/picture">
                      <pic:pic xmlns:pic="http://schemas.openxmlformats.org/drawingml/2006/picture">
                        <pic:nvPicPr>
                          <pic:cNvPr id="387" name="Line_66_SpCnt_9"/>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88" name="Line_65_SpCnt_9"/>
                  <wp:cNvGraphicFramePr/>
                  <a:graphic xmlns:a="http://schemas.openxmlformats.org/drawingml/2006/main">
                    <a:graphicData uri="http://schemas.openxmlformats.org/drawingml/2006/picture">
                      <pic:pic xmlns:pic="http://schemas.openxmlformats.org/drawingml/2006/picture">
                        <pic:nvPicPr>
                          <pic:cNvPr id="388" name="Line_65_SpCnt_9"/>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89" name="Line_69_SpCnt_10"/>
                  <wp:cNvGraphicFramePr/>
                  <a:graphic xmlns:a="http://schemas.openxmlformats.org/drawingml/2006/main">
                    <a:graphicData uri="http://schemas.openxmlformats.org/drawingml/2006/picture">
                      <pic:pic xmlns:pic="http://schemas.openxmlformats.org/drawingml/2006/picture">
                        <pic:nvPicPr>
                          <pic:cNvPr id="389" name="Line_69_SpCnt_10"/>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90" name="Line_47_SpCnt_11"/>
                  <wp:cNvGraphicFramePr/>
                  <a:graphic xmlns:a="http://schemas.openxmlformats.org/drawingml/2006/main">
                    <a:graphicData uri="http://schemas.openxmlformats.org/drawingml/2006/picture">
                      <pic:pic xmlns:pic="http://schemas.openxmlformats.org/drawingml/2006/picture">
                        <pic:nvPicPr>
                          <pic:cNvPr id="390" name="Line_47_SpCnt_1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91" name="Line_69_SpCnt_11"/>
                  <wp:cNvGraphicFramePr/>
                  <a:graphic xmlns:a="http://schemas.openxmlformats.org/drawingml/2006/main">
                    <a:graphicData uri="http://schemas.openxmlformats.org/drawingml/2006/picture">
                      <pic:pic xmlns:pic="http://schemas.openxmlformats.org/drawingml/2006/picture">
                        <pic:nvPicPr>
                          <pic:cNvPr id="391" name="Line_69_SpCnt_1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92" name="Line_48_SpCnt_11"/>
                  <wp:cNvGraphicFramePr/>
                  <a:graphic xmlns:a="http://schemas.openxmlformats.org/drawingml/2006/main">
                    <a:graphicData uri="http://schemas.openxmlformats.org/drawingml/2006/picture">
                      <pic:pic xmlns:pic="http://schemas.openxmlformats.org/drawingml/2006/picture">
                        <pic:nvPicPr>
                          <pic:cNvPr id="392" name="Line_48_SpCnt_1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93" name="Line_55_SpCnt_10"/>
                  <wp:cNvGraphicFramePr/>
                  <a:graphic xmlns:a="http://schemas.openxmlformats.org/drawingml/2006/main">
                    <a:graphicData uri="http://schemas.openxmlformats.org/drawingml/2006/picture">
                      <pic:pic xmlns:pic="http://schemas.openxmlformats.org/drawingml/2006/picture">
                        <pic:nvPicPr>
                          <pic:cNvPr id="393" name="Line_55_SpCnt_10"/>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94" name="Line_68_SpCnt_10"/>
                  <wp:cNvGraphicFramePr/>
                  <a:graphic xmlns:a="http://schemas.openxmlformats.org/drawingml/2006/main">
                    <a:graphicData uri="http://schemas.openxmlformats.org/drawingml/2006/picture">
                      <pic:pic xmlns:pic="http://schemas.openxmlformats.org/drawingml/2006/picture">
                        <pic:nvPicPr>
                          <pic:cNvPr id="394" name="Line_68_SpCnt_10"/>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95" name="Line_68_SpCnt_11"/>
                  <wp:cNvGraphicFramePr/>
                  <a:graphic xmlns:a="http://schemas.openxmlformats.org/drawingml/2006/main">
                    <a:graphicData uri="http://schemas.openxmlformats.org/drawingml/2006/picture">
                      <pic:pic xmlns:pic="http://schemas.openxmlformats.org/drawingml/2006/picture">
                        <pic:nvPicPr>
                          <pic:cNvPr id="395" name="Line_68_SpCnt_1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96" name="Line_67_SpCnt_10"/>
                  <wp:cNvGraphicFramePr/>
                  <a:graphic xmlns:a="http://schemas.openxmlformats.org/drawingml/2006/main">
                    <a:graphicData uri="http://schemas.openxmlformats.org/drawingml/2006/picture">
                      <pic:pic xmlns:pic="http://schemas.openxmlformats.org/drawingml/2006/picture">
                        <pic:nvPicPr>
                          <pic:cNvPr id="396" name="Line_67_SpCnt_10"/>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97" name="Line_67_SpCnt_11"/>
                  <wp:cNvGraphicFramePr/>
                  <a:graphic xmlns:a="http://schemas.openxmlformats.org/drawingml/2006/main">
                    <a:graphicData uri="http://schemas.openxmlformats.org/drawingml/2006/picture">
                      <pic:pic xmlns:pic="http://schemas.openxmlformats.org/drawingml/2006/picture">
                        <pic:nvPicPr>
                          <pic:cNvPr id="397" name="Line_67_SpCnt_1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98" name="Line_65_SpCnt_10"/>
                  <wp:cNvGraphicFramePr/>
                  <a:graphic xmlns:a="http://schemas.openxmlformats.org/drawingml/2006/main">
                    <a:graphicData uri="http://schemas.openxmlformats.org/drawingml/2006/picture">
                      <pic:pic xmlns:pic="http://schemas.openxmlformats.org/drawingml/2006/picture">
                        <pic:nvPicPr>
                          <pic:cNvPr id="398" name="Line_65_SpCnt_10"/>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399" name="Line_66_SpCnt_10"/>
                  <wp:cNvGraphicFramePr/>
                  <a:graphic xmlns:a="http://schemas.openxmlformats.org/drawingml/2006/main">
                    <a:graphicData uri="http://schemas.openxmlformats.org/drawingml/2006/picture">
                      <pic:pic xmlns:pic="http://schemas.openxmlformats.org/drawingml/2006/picture">
                        <pic:nvPicPr>
                          <pic:cNvPr id="399" name="Line_66_SpCnt_10"/>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00" name="Line_57_SpCnt_11"/>
                  <wp:cNvGraphicFramePr/>
                  <a:graphic xmlns:a="http://schemas.openxmlformats.org/drawingml/2006/main">
                    <a:graphicData uri="http://schemas.openxmlformats.org/drawingml/2006/picture">
                      <pic:pic xmlns:pic="http://schemas.openxmlformats.org/drawingml/2006/picture">
                        <pic:nvPicPr>
                          <pic:cNvPr id="400" name="Line_57_SpCnt_1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01" name="Line_56_SpCnt_11"/>
                  <wp:cNvGraphicFramePr/>
                  <a:graphic xmlns:a="http://schemas.openxmlformats.org/drawingml/2006/main">
                    <a:graphicData uri="http://schemas.openxmlformats.org/drawingml/2006/picture">
                      <pic:pic xmlns:pic="http://schemas.openxmlformats.org/drawingml/2006/picture">
                        <pic:nvPicPr>
                          <pic:cNvPr id="401" name="Line_56_SpCnt_1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02" name="Line_55_SpCnt_11"/>
                  <wp:cNvGraphicFramePr/>
                  <a:graphic xmlns:a="http://schemas.openxmlformats.org/drawingml/2006/main">
                    <a:graphicData uri="http://schemas.openxmlformats.org/drawingml/2006/picture">
                      <pic:pic xmlns:pic="http://schemas.openxmlformats.org/drawingml/2006/picture">
                        <pic:nvPicPr>
                          <pic:cNvPr id="402" name="Line_55_SpCnt_1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03" name="Line_50_SpCnt_10"/>
                  <wp:cNvGraphicFramePr/>
                  <a:graphic xmlns:a="http://schemas.openxmlformats.org/drawingml/2006/main">
                    <a:graphicData uri="http://schemas.openxmlformats.org/drawingml/2006/picture">
                      <pic:pic xmlns:pic="http://schemas.openxmlformats.org/drawingml/2006/picture">
                        <pic:nvPicPr>
                          <pic:cNvPr id="403" name="Line_50_SpCnt_10"/>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04" name="Line_50_SpCnt_11"/>
                  <wp:cNvGraphicFramePr/>
                  <a:graphic xmlns:a="http://schemas.openxmlformats.org/drawingml/2006/main">
                    <a:graphicData uri="http://schemas.openxmlformats.org/drawingml/2006/picture">
                      <pic:pic xmlns:pic="http://schemas.openxmlformats.org/drawingml/2006/picture">
                        <pic:nvPicPr>
                          <pic:cNvPr id="404" name="Line_50_SpCnt_1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05" name="Line_66_SpCnt_11"/>
                  <wp:cNvGraphicFramePr/>
                  <a:graphic xmlns:a="http://schemas.openxmlformats.org/drawingml/2006/main">
                    <a:graphicData uri="http://schemas.openxmlformats.org/drawingml/2006/picture">
                      <pic:pic xmlns:pic="http://schemas.openxmlformats.org/drawingml/2006/picture">
                        <pic:nvPicPr>
                          <pic:cNvPr id="405" name="Line_66_SpCnt_1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06" name="Line_65_SpCnt_11"/>
                  <wp:cNvGraphicFramePr/>
                  <a:graphic xmlns:a="http://schemas.openxmlformats.org/drawingml/2006/main">
                    <a:graphicData uri="http://schemas.openxmlformats.org/drawingml/2006/picture">
                      <pic:pic xmlns:pic="http://schemas.openxmlformats.org/drawingml/2006/picture">
                        <pic:nvPicPr>
                          <pic:cNvPr id="406" name="Line_65_SpCnt_1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lang w:val="en-US" w:eastAsia="zh-CN" w:bidi="ar"/>
              </w:rPr>
              <w:t>序号</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 备 名 称</w:t>
            </w:r>
          </w:p>
        </w:tc>
        <w:tc>
          <w:tcPr>
            <w:tcW w:w="58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469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5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265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0"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一、后台管理终端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0" w:hRule="atLeast"/>
        </w:trPr>
        <w:tc>
          <w:tcPr>
            <w:tcW w:w="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智慧教室管理系统</w:t>
            </w:r>
          </w:p>
        </w:tc>
        <w:tc>
          <w:tcPr>
            <w:tcW w:w="5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V3.0</w:t>
            </w:r>
          </w:p>
        </w:tc>
        <w:tc>
          <w:tcPr>
            <w:tcW w:w="469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1.★系统采用B/S架构，防病毒及网络攻击确保系统安全性、稳定性，能够跨VLAN、跨网段远程实时监控各个教室的使用情况,确保教室设备的集中控制与管理；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2.支持根据学校教室的数量和楼层分布状况进行教室名称和分类的编辑，并且可以与学校一卡通系统进行数据对接，实现教师数据自动同步；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3.支持远程集中控制教室各类智能设备，电脑状态、面板权限状态等，并可显示使用该教室的教师姓名；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4.配套硬件实现个人云空间，实现图片、视频、PPT、PDF等教学资源文件的快速上传和下载；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具备分级管理功能，一级管理员角色可添加用户和角色，可赋予不同角色不同权限；可按楼层分配协管员角色，协管员分配允许管理的教室或教学楼范围，也可为用户指定观察员角色，可观看所有信息，但不具有操作权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6.管理员在固产管理项中，可对教室易损耗设备进行统一入库、领用管理，如投影机灯泡、电池等；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现场使用老师、管理员、或者工作人员发现设备故障可通过移动端用文字描述、图片上传、语音留言等形式上报故障，管理员也可在客户端、网页端的可视对讲中提交故障，故障上报后，系统会根据预设的管理权限自动派送给对应协管员或学校管理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8.每次故障处理或处理人变更都会形成记录，处理完成后会通知相应报障人以及对应管理员。并形成该教室的历史故障记录，以便技术人员了解该教室的设备历史情况，对设备故障作出更精确的判断；</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9.学校可定期进行巡检，系统会根据每个教室的设备安装情况进行设备全检，操作人员根据智能向导进行操作，避免遗漏检查；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配套硬件系统可实现音视频对讲功能，接入后在教室状态查看界面双击对应教室，即可通过摄像头查看教室画面，管理员也可直接跟老师进行沟通，在此过程中，如发现设备故障，可直接在该界面上报故障，同时系统将该故障信息同步云端，进入故障处理流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11.实现权限等级分配管理功能，可实现对各教学楼、各教室管理权限的独立分配；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12.具有计划任务开关教室设备功能，根据管理需要在任意时间对指定楼群、指定智慧教室教室进行远程统一开关；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13配套能耗监测硬件实现教室能耗监测数据收集显示，可以按周、月、年等时间段分别以传统数据、柱状图以及饼状图呈现，后期可以报表形式导出；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14.支持对教室和教师的使用记录进行查询和统计，包括使用的次数，总时间，最后一位使用者，最后一次使用时间等数据字段；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15.支持提供设备故障处理全流程的操作记录、及各种故障的数据统计，协助管理员制定更加科学合理的设备更新维护计划；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具备教务管理功能，系统详细记录教师的所授课时、所用设备、时间等内容，具有时间、实名制记录查询功能，可按时间和姓名查询教师使用信息、设备使用信息和故障信息等记录，并进行统计分析，为教务管理提供了真实的量化数据。19.支持无缝对接学校一卡通系统等，实现数据自动交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17.★配套AI信息屏硬件可无缝对接故障上报系统，实现教室端所有故障上报方式互通，故障数据集中录入处理，为保证系统的稳定和数据的互通；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18.配套AI信息屏硬件实现对各电子班牌终端的学校名称及背景、学期信息、教室数据、管理权限、课表信息、天气情况、教师信息、课程信息等，通过自动或手动的方式进行管理；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19.配套软硬件设备实现对电子班牌进行通知公告的修改，首页视频的设定，考试模式的调整以及课时的设置；</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20★提供智慧教室管理软件著作权；</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21.系统质保一年</w:t>
            </w:r>
          </w:p>
        </w:tc>
        <w:tc>
          <w:tcPr>
            <w:tcW w:w="5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655" w:type="dxa"/>
            <w:shd w:val="clear" w:color="auto" w:fill="auto"/>
            <w:vAlign w:val="center"/>
          </w:tcPr>
          <w:p>
            <w:pPr>
              <w:jc w:val="left"/>
              <w:rPr>
                <w:rFonts w:hint="eastAsia" w:ascii="宋体" w:hAnsi="宋体" w:eastAsia="宋体" w:cs="宋体"/>
                <w:i w:val="0"/>
                <w:iCs w:val="0"/>
                <w:color w:val="FF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二、控制、核心系统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网络多媒体中控（液晶面板）</w:t>
            </w:r>
          </w:p>
        </w:tc>
        <w:tc>
          <w:tcPr>
            <w:tcW w:w="5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JT-308HL</w:t>
            </w:r>
          </w:p>
        </w:tc>
        <w:tc>
          <w:tcPr>
            <w:tcW w:w="469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1.★7寸工业电容式触摸屏，且集成刷卡模块；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2.开启方式需支持微信扫码，面板须提供显著二维码标志。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3.面板DSUB接口≥1个；</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4.控制屏具备分组讨论信号切换功能，配套分组讨论相关硬件，可实现面板直接操控小组屏幕调屏或者广播屏幕画面功能。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5.★主机采用ARM M4内核 32位处理器，处理器内置MAC网络层，中控网络通讯支持IPV4 + IPV6 双协议，提供千兆网络接口≥4个;</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6.提供HDMI输入≥2个，VGA输入≥1个，HDMI输出≥2个，VOICE输出≥1个;</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7.需支持VGA和HDMI两类接口供笔记本信号输入选择；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8.★支持扫码投屏和投屏码投屏，4路无线投屏显示，Android、iOS、Mac、Windows设备投屏，兼容AirPlay、Miracast、WiDi、BJCast协议，支持4K高清显示；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9.★支持BJCast投屏反控、USB投屏反控、Miracast投屏反控、WiDi投屏反控；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10.需支持同时控制两台投影的开关，投影机电源输出带负载检测装置，准确记录投影机使用时间并可以推送到管理后台，投影机控制接口须为防脱落插头，幕布插座为航空插件；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12.支持断网情况下，离线可存储≥9000张教师卡信息，断网可认证数据身份；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13.整机一年</w:t>
            </w:r>
          </w:p>
        </w:tc>
        <w:tc>
          <w:tcPr>
            <w:tcW w:w="5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65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34925</wp:posOffset>
                  </wp:positionV>
                  <wp:extent cx="1417955" cy="791845"/>
                  <wp:effectExtent l="0" t="0" r="10795" b="8255"/>
                  <wp:wrapNone/>
                  <wp:docPr id="407" name="图片_2"/>
                  <wp:cNvGraphicFramePr/>
                  <a:graphic xmlns:a="http://schemas.openxmlformats.org/drawingml/2006/main">
                    <a:graphicData uri="http://schemas.openxmlformats.org/drawingml/2006/picture">
                      <pic:pic xmlns:pic="http://schemas.openxmlformats.org/drawingml/2006/picture">
                        <pic:nvPicPr>
                          <pic:cNvPr id="407" name="图片_2"/>
                          <pic:cNvPicPr/>
                        </pic:nvPicPr>
                        <pic:blipFill>
                          <a:blip r:embed="rId7"/>
                          <a:stretch>
                            <a:fillRect/>
                          </a:stretch>
                        </pic:blipFill>
                        <pic:spPr>
                          <a:xfrm>
                            <a:off x="0" y="0"/>
                            <a:ext cx="1417955" cy="79184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一体化讲台</w:t>
            </w:r>
          </w:p>
        </w:tc>
        <w:tc>
          <w:tcPr>
            <w:tcW w:w="5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469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1.讲台尺寸为：约1200mm*650mm*900-105mm(左右*前后*桌面/外围高度)，环抱老师式设计，根据人体力学设计，讲台桌面高度合适老师放置教学用品，尺寸根据实际空间环境定制。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钢木结合，采用冷轧钢板桌体，钢板厚度≥1.2mm，桌面立面包围处采用汽车内衬加工工艺，高端大气，老师接触位置为木质桌面，桌面防静电，全封闭设计，整体外观流线型设计，无菱角处理，受到冲击时不易倾倒，保护师生安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讲台上配有23.8寸以上触摸显示器，电容十点触摸屏，屏幕比例:16:9，接口类型:VGA,HDMI，面板类型:IPS，刷新率:60Hz，屏幕类型:WLED，屏幕分辨率:1920x1080像素；显示器嵌入讲桌后四周无缝隙，与桌面仰角≥18°，同步显示一体机画面，老师讲课无需转身背对学生，提高授课效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4.讲台箱体左侧预留电脑主机开关门，无需打开箱体的情况下也能正常开关操作电脑主机，箱体预留功放主机、电脑主机、中控主机安装位置。</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5.讲桌桌面右侧放置标准接口面板，铝合金材质，包含至少两个USB口（≥5V/2A）、220三相电源接口、HDMI接口。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6.老师除了可以用于充电外，还可用于手机或笔记本电脑视频输入。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7.老师可将笔记本电脑用HDMI接入，将笔记本电脑画面显示在讲台主屏及投影画面上。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8.讲台在讲桌正面配备安装检修门（与学生上课位置正对面），采用三聚氰胺板材质，内置隐藏式螺丝安装，方便打开设备柜进行维护工作，设备线活动处做好防护套，便于检修。</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10.讲台桌面设置中控面板和话筒底座的安装区域，可根据实际尺寸定制。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11.质保一年</w:t>
            </w:r>
          </w:p>
        </w:tc>
        <w:tc>
          <w:tcPr>
            <w:tcW w:w="5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310515</wp:posOffset>
                  </wp:positionH>
                  <wp:positionV relativeFrom="paragraph">
                    <wp:posOffset>29210</wp:posOffset>
                  </wp:positionV>
                  <wp:extent cx="1512570" cy="1439545"/>
                  <wp:effectExtent l="0" t="0" r="11430" b="8255"/>
                  <wp:wrapNone/>
                  <wp:docPr id="408" name="图片_5"/>
                  <wp:cNvGraphicFramePr/>
                  <a:graphic xmlns:a="http://schemas.openxmlformats.org/drawingml/2006/main">
                    <a:graphicData uri="http://schemas.openxmlformats.org/drawingml/2006/picture">
                      <pic:pic xmlns:pic="http://schemas.openxmlformats.org/drawingml/2006/picture">
                        <pic:nvPicPr>
                          <pic:cNvPr id="408" name="图片_5"/>
                          <pic:cNvPicPr/>
                        </pic:nvPicPr>
                        <pic:blipFill>
                          <a:blip r:embed="rId8"/>
                          <a:stretch>
                            <a:fillRect/>
                          </a:stretch>
                        </pic:blipFill>
                        <pic:spPr>
                          <a:xfrm>
                            <a:off x="0" y="0"/>
                            <a:ext cx="1512570" cy="1439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张</w:t>
            </w:r>
          </w:p>
        </w:tc>
        <w:tc>
          <w:tcPr>
            <w:tcW w:w="2655" w:type="dxa"/>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86寸智慧黑板 老师用</w:t>
            </w:r>
          </w:p>
        </w:tc>
        <w:tc>
          <w:tcPr>
            <w:tcW w:w="58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创维860V2-RC1</w:t>
            </w:r>
          </w:p>
        </w:tc>
        <w:tc>
          <w:tcPr>
            <w:tcW w:w="469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1.中间屏幕显示尺寸≥86寸，整机的长度≥4400mm，高度≥1200mm，液晶显示屏幕采用工业级A规液晶面板，整机屏幕边缘采用金属圆角包边防护，整机背板采用金属材质一体化成型。</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图像分辨率≥3840*2160，显示比例支持：4:3、16:9；亮度≥500cd/㎡；对比度≥5000:1；可视角度≥178°，色域覆盖率≥130%NTSC，色彩精准度△E≤1.5，色彩深度≥10bit(灰度≥256级）。【提供国家级机构出具的第三方检测报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3.整机接口具有明确的中文标识，正面需有明确的企业标识，背面需有明确的产品信息标识，前置提示贴：提供上电、开机、关机、关闭OPS、休眠、断电操作提示、提供服务和投诉通道。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4.中间屏幕采用全物理钢化玻璃，表面硬度≥9H有效保护屏幕显示画面。采用防眩光玻璃，屏幕支持防眩光功能，透过率≥93%，光泽度≤8度。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5.采用红外触控方式，全通道支持20点触摸，从内部Android通道切换到内部PC通道后，触摸框在1s内达到可触控状态。从内部PC通道切换到外部通道后，触摸框在2s内达到可触控状态。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6.★整机支持HID 免驱协议，Windows7/8/10/Mac OS/Linux/国产化系统下，自动识别，无需额外安装驱动程序。触摸屏有效识别高度≤1mm，当触摸物体距离玻璃外表面高度≤1mm时，触摸屏识别为点击操作，保证触摸识别的精准性及减少误操作。采用高精度触摸，触摸精度±1mm；最小识别物2mm；触摸响应时间≤3ms。【提供国家级机构出具的第三方检测报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7.★红外滤光条采用前推折射光学设计，使截面高度大幅降低，与钢化玻璃表面高度差不超过3mm，确保整机的整体视觉效果更美观。【提供国家级机构出具的第三方检测报告】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8.智慧黑板整机正面没有任何凸起部位；主屏与侧板采用按压卡扣式拼接，拼缝≤0.5mm，整体拼合效果好。</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9.★整机采用等边设计，功能区域均分布在主屏部位；副板区域正面无任何功能区域或凹槽设计，副板全板面区域均可粉笔书写，不占用板书书写面积。【提供国家级机构出具的第三方检测报告】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10.整机表面支持3种及以上类型的笔书写:水性笔、普通粉笔、无尘粉笔、成膜笔等。</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11.★整机支持 2.0立体声模式，内置2个前朝向悬浮式中高频音响，采用左右对称设计，可实现反射式环绕立体音效，功率≥15W*2，整机支持5段均衡器（120Hz、500Hz、1.5KHz、5KHz、10KHz）且调节范围为±50的音效调节方式。整机支持≥4种音效模式（用户、标准、音乐、新闻）。【提供国家级机构出具的第三方检测报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12.整机兼容多种视频格式，包括VP9、HEVC/H.265、MPEG1/2、MPEG4、Sorenson H.263、H263、H.264、AVS、AVS+、AVS2、WMV3、VC1、Motion JPEG、VP8、RV30/RV40、AV1等。</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13.整机接口端子应满足：输入端口：USB≥2，HDMI IN≥1，RS232串口≥1, LAN IN≥1，MIC IN≥1,TF≥1,AV IN≥1，YPbPr≥1，LINE IN≥1,VGA IN≥1；输出端口：USB-TOUCH≥1，AV OUT≥1，LINE OUT≥1，COAX OUT≥1。</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前置电源按键具备三键合一按钮，在开机状态下，短按电源键，弹出智慧电源键菜单，可做关机/关闭OPS/休眠操作，指示灯根据设备不同状态呈现白灯常亮/红灯常亮/红白闪烁；也可通过菜单设置为一键关机，同时关闭大屏与OPS。</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前置多功能、音量、电脑、电源、主页、亮度、多任务等不少于7个实体按键和1个针孔式系统还原按键，用户可根据需要通过多功能按键调用白板、录屏、护眼、计算器、投票、倒计时、设置等不少于24个功能，其中录屏功能可将课件、音频等内容与老师人声同步录制，方便制作教学视频。【提供国家级机构出具的第三方检测报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16.整机前置接口至少1路多功能Type-C、 1路HDMI IN、1路触摸USB、3路全通道USB 3.0同时支持在Windows和Android系统下被读取。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整机具备1路后置双通道USB接口，具备Android、Windows双系统自适应、智能识别切换功能，无需用户手动设置或频繁插拔接线，无需占用前置USB接口；支持实物展台、无线智能笔、外置音响等常用设备在Android、Windows系统下调取，方便教学用户使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18.★整机具备TF卡槽接口，非外挂或转接式接口，不用拆机即可快速扩展系统存储空间，最大支持128G存储空间扩展。【提供国家级机构出具的第三方检测报告】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19.具有无线AP功能，为课堂教学提供稳定网络环境，方便数据有效传输，为互动课堂教学提供稳定、畅通、便捷的网络环境,工作距离最大可达30M ,可支持≥40 路用户接入。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20.★整机无线网络模块支持 2.4GHz/5GHz，一边连 WiFi 上网，一边开热点共享，采用多天线和PIFA天线板载设计，不需要再加外置式天线，大幅提高无线信号接收能力、信号覆盖范围 、传输速率，WIFI最高支持866Mbps数据速率。【提供国家级机构出具的第三方检测报告】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21.整机无线模块支持IEEE802.11a/b/g/n/ac协议，支持IEEE802.11i（WPA和WPA2)、WAP1，确保连接安全性，连上WIFI后支持生成二维码分享WIFI网络。</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22.★前置隐藏式阵列天线设计≥3个，无线模块设计，无金属材质阻挡，信号更强，包含2.4G、5G双频WIFI及蓝牙5.0接发装置，Android与Windows均可无线上网。【提供国家级机构出具的第三方检测报告】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内置符合蓝牙5.0标准。整机支持主动发现蓝牙外设从而连接（无需整机进入发现模式）。手机可通过蓝牙连接智能交互平板，可以调用音箱进行音频播放，智能交互平板可通过蓝牙模块与蓝牙音箱连接，通过蓝牙音箱播放智能交互平板音频。支持智能交互平板与具有蓝牙功能的手机连接，进行文件传输，内置蓝牙模块工作距离≥12米。</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安卓系统下白板软件支持不少于3种类型的背景，颜色：支持不少于5种标准背景颜色，亦可自定义任意颜色作为背景，并支持预览自定义的颜色；线条：支持不少于6种线条背景；图片：支持不少于5种标准图片作为背景。</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25.安卓系统下白板软件支持三角形、正方形、多边形、直线、虚线、箭头等不少于11种常见图形或线条绘制，并可对图形或线条画笔大小、颜色、透明度进行调整。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安卓系统下白板软件支持大小笔书写功能，可根据用户笔触的面积智能切换大小笔的书写效果；可分别对大小笔调整笔迹颜色，提供不低于8种标准颜色，亦可直接在色盘上直接选择任意颜色；支持不少于7级滑动调整笔迹大小，在0-100%之间调整笔迹透明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27.★内置安卓嵌入式系统，Android≥11.0版本，具备四核CPU，两核GPU。机身内存≥16G ROM，运行内存≥2G RAM【提供国家级机构出具的第三方检测报告】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28.当外接电脑连接设备时，外接电脑可直接读取插在整机上的 U 盘，并识别翻页笔、无线键鼠等 USB 通讯设备，调用整机内置的摄像头、麦克风、扬声器，实现在外接电脑时即可拍摄教室画面。</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29.整机支持在Android系统下通过软件还原、前置针孔按键还原、OPS上自带一键还原、键盘还原等不少于4种方式进行Windows系统还原操作。</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30.整机信号源通道支持用户自定义名称，可兼容中英文数字及标点符号输入。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31.支持网络唤醒功能，设备和个人电脑在同一局域网内，且设备连接网线状态下，使用个人电脑通过网络唤醒工具可将设备进行开机。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可一键调取自动关机、自动休眠，支持自动关机，指定时间内无操作，设备自动关机，用户可设置触发自动关机的时长：30分钟/60分钟/90分钟/120分钟；支持自动休眠，指定时间内无操作，设备自动休眠，用户可设置触发自动休眠的时长：1分钟/2分钟/3分钟/5分钟；可设置定时开关机时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33.在任意通道下，可通过五指手势实现熄屏与唤醒功能，方便老师在课堂上提问、测验等场景应用。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34.★为最大限度保证显示及书写面积，设备无双侧边工具栏，可通过前置物理按键、两指长按屏幕、手势滑动3种方式在任意通道下调出中控菜单【提供国家级机构出具的第三方检测报告】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35.★支持用户一键启用/关闭信源跳转、悬浮菜单、信源唤醒、网络唤醒、触摸护眼、集控、自动关机、自动休眠等不少于9个功能【提供国家级机构出具的第三方检测报告】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支持用户快速调用网络设置、投票器、计时器、截屏、无线投屏、录屏、互动课堂、设置、音量调节、亮度调节等不少于10个固定功能，并可自定义3个快捷功能，自定义功能可选择16种，支持一键清除自定义快捷键设置。</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悬浮菜单：为方便走动式教学，支持在任意通道下通过多指连续敲击屏幕快速调出悬浮菜单，悬浮菜单包括主页、内置电脑、白板、多任务、返回、信号源、分屏、批注等不少于8个功能，并可在任意通道下通过多指连续敲击屏幕快速调用此悬浮菜单到屏幕任意位置，且悬浮菜单在使用完毕后会自动隐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38.整机系统具备高清4K视频处理能力，4K 高清显示，使画面亮丽、清晰、流畅，保证显示效果；且具有自动优化运动图像功能,可有效解决图像抖动问题。</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39.屏体三年  整机一年</w:t>
            </w:r>
          </w:p>
        </w:tc>
        <w:tc>
          <w:tcPr>
            <w:tcW w:w="5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405130</wp:posOffset>
                  </wp:positionH>
                  <wp:positionV relativeFrom="paragraph">
                    <wp:posOffset>110490</wp:posOffset>
                  </wp:positionV>
                  <wp:extent cx="1430020" cy="688340"/>
                  <wp:effectExtent l="0" t="0" r="17780" b="16510"/>
                  <wp:wrapNone/>
                  <wp:docPr id="409" name="图片_1"/>
                  <wp:cNvGraphicFramePr/>
                  <a:graphic xmlns:a="http://schemas.openxmlformats.org/drawingml/2006/main">
                    <a:graphicData uri="http://schemas.openxmlformats.org/drawingml/2006/picture">
                      <pic:pic xmlns:pic="http://schemas.openxmlformats.org/drawingml/2006/picture">
                        <pic:nvPicPr>
                          <pic:cNvPr id="409" name="图片_1"/>
                          <pic:cNvPicPr/>
                        </pic:nvPicPr>
                        <pic:blipFill>
                          <a:blip r:embed="rId9"/>
                          <a:stretch>
                            <a:fillRect/>
                          </a:stretch>
                        </pic:blipFill>
                        <pic:spPr>
                          <a:xfrm>
                            <a:off x="0" y="0"/>
                            <a:ext cx="1430020" cy="6883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台</w:t>
            </w:r>
          </w:p>
        </w:tc>
        <w:tc>
          <w:tcPr>
            <w:tcW w:w="2655" w:type="dxa"/>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5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一体式OPS电脑</w:t>
            </w:r>
          </w:p>
        </w:tc>
        <w:tc>
          <w:tcPr>
            <w:tcW w:w="58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创维</w:t>
            </w:r>
          </w:p>
        </w:tc>
        <w:tc>
          <w:tcPr>
            <w:tcW w:w="469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1.一体机采用抽拉式模块化电脑，采用标准 JAE-80PIN 连接器件模块化设计，标准80针接口，外部无任何连线，支持快速拆卸。</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2.CPU：≥ INTEL I5；内存：≥8G；固态硬盘：≥256G； 内置WIFI模块，支持 windows系统具备一键还原功能，含有防盗锁控。</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3.独立非外扩展接口：1路VGA，1路HDMI，6路USB（其中USB3.0≥2），1路RJ45。</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★所投产品配备正版Windows10 专业版操作系统和正版office2019标准版办公软件，投标人提供本次采购预装的操作系统和办公软件为正版的证明文件。</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4.整机一年</w:t>
            </w:r>
          </w:p>
        </w:tc>
        <w:tc>
          <w:tcPr>
            <w:tcW w:w="5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65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481965</wp:posOffset>
                  </wp:positionH>
                  <wp:positionV relativeFrom="paragraph">
                    <wp:posOffset>60325</wp:posOffset>
                  </wp:positionV>
                  <wp:extent cx="789305" cy="509905"/>
                  <wp:effectExtent l="0" t="0" r="10795" b="4445"/>
                  <wp:wrapNone/>
                  <wp:docPr id="410" name="图片_2_SpCnt_1"/>
                  <wp:cNvGraphicFramePr/>
                  <a:graphic xmlns:a="http://schemas.openxmlformats.org/drawingml/2006/main">
                    <a:graphicData uri="http://schemas.openxmlformats.org/drawingml/2006/picture">
                      <pic:pic xmlns:pic="http://schemas.openxmlformats.org/drawingml/2006/picture">
                        <pic:nvPicPr>
                          <pic:cNvPr id="410" name="图片_2_SpCnt_1"/>
                          <pic:cNvPicPr/>
                        </pic:nvPicPr>
                        <pic:blipFill>
                          <a:blip r:embed="rId10"/>
                          <a:stretch>
                            <a:fillRect/>
                          </a:stretch>
                        </pic:blipFill>
                        <pic:spPr>
                          <a:xfrm>
                            <a:off x="0" y="0"/>
                            <a:ext cx="789305" cy="50990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45" w:type="dxa"/>
            <w:gridSpan w:val="6"/>
            <w:shd w:val="clear" w:color="auto" w:fill="FFFFFF"/>
            <w:vAlign w:val="center"/>
          </w:tcPr>
          <w:p>
            <w:pPr>
              <w:jc w:val="center"/>
              <w:rPr>
                <w:rFonts w:hint="eastAsia" w:ascii="宋体" w:hAnsi="宋体" w:eastAsia="宋体" w:cs="宋体"/>
                <w:i w:val="0"/>
                <w:iCs w:val="0"/>
                <w:color w:val="000000"/>
                <w:sz w:val="18"/>
                <w:szCs w:val="18"/>
                <w:u w:val="none"/>
              </w:rPr>
            </w:pPr>
          </w:p>
        </w:tc>
        <w:tc>
          <w:tcPr>
            <w:tcW w:w="2655" w:type="dxa"/>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0"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三、互动系统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5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互动终端</w:t>
            </w:r>
          </w:p>
        </w:tc>
        <w:tc>
          <w:tcPr>
            <w:tcW w:w="5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JT-FZ01</w:t>
            </w:r>
          </w:p>
        </w:tc>
        <w:tc>
          <w:tcPr>
            <w:tcW w:w="469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1.采用FPGA架构，内部自建核心运算机制，无内嵌操作系统，无系统崩溃、病毒侵扰等问题；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2.插卡式结构设计，可灵活配置输入输出信号类型及信号通道数；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3.HDMI输入≥8路；HDMI输出≥8路；采用高性能数字处理芯片，可将多个高清信号任意调用；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4.实现任意信号源与主屏幕信号源的切换显示；实现主屏幕信号源广播下发至任意信号源；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5.★配套网络中控情况下，支持与中控主机无缝对接，实现中控面板直接控制终端各路信号切换；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6.★整个互动讨论系统必须在不下载任何APP环境下实现所有技术和功能指标；</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7.整机一年</w:t>
            </w:r>
          </w:p>
        </w:tc>
        <w:tc>
          <w:tcPr>
            <w:tcW w:w="5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357505</wp:posOffset>
                  </wp:positionH>
                  <wp:positionV relativeFrom="paragraph">
                    <wp:posOffset>81280</wp:posOffset>
                  </wp:positionV>
                  <wp:extent cx="1376680" cy="951865"/>
                  <wp:effectExtent l="0" t="0" r="13970" b="635"/>
                  <wp:wrapNone/>
                  <wp:docPr id="411" name="图片_3"/>
                  <wp:cNvGraphicFramePr/>
                  <a:graphic xmlns:a="http://schemas.openxmlformats.org/drawingml/2006/main">
                    <a:graphicData uri="http://schemas.openxmlformats.org/drawingml/2006/picture">
                      <pic:pic xmlns:pic="http://schemas.openxmlformats.org/drawingml/2006/picture">
                        <pic:nvPicPr>
                          <pic:cNvPr id="411" name="图片_3"/>
                          <pic:cNvPicPr/>
                        </pic:nvPicPr>
                        <pic:blipFill>
                          <a:blip r:embed="rId11"/>
                          <a:stretch>
                            <a:fillRect/>
                          </a:stretch>
                        </pic:blipFill>
                        <pic:spPr>
                          <a:xfrm>
                            <a:off x="0" y="0"/>
                            <a:ext cx="1376680" cy="9518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台</w:t>
            </w:r>
          </w:p>
        </w:tc>
        <w:tc>
          <w:tcPr>
            <w:tcW w:w="2655" w:type="dxa"/>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5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无线投屏器</w:t>
            </w:r>
          </w:p>
        </w:tc>
        <w:tc>
          <w:tcPr>
            <w:tcW w:w="5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JT-X7</w:t>
            </w:r>
          </w:p>
        </w:tc>
        <w:tc>
          <w:tcPr>
            <w:tcW w:w="469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1.接口：HDMI输出≥1路，AV输出≥1路， HDMI支持1920*1080，光纤音频输出≥1路，网络接口≥1路；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2.软件功能：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1.★无需安装任何客户端, 支持ios和android设备，Win8以上系统、Mac系统的无线投屏应用；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2.启动后能自动显示主流手机品牌和笔记本电脑的投屏方法；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3.支持802.11b/g/n 协议，具有2.4G、5G网络；</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4.质保一年</w:t>
            </w:r>
          </w:p>
        </w:tc>
        <w:tc>
          <w:tcPr>
            <w:tcW w:w="5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4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65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43815</wp:posOffset>
                  </wp:positionH>
                  <wp:positionV relativeFrom="paragraph">
                    <wp:posOffset>56515</wp:posOffset>
                  </wp:positionV>
                  <wp:extent cx="1156970" cy="902335"/>
                  <wp:effectExtent l="0" t="0" r="5080" b="12065"/>
                  <wp:wrapNone/>
                  <wp:docPr id="412" name="图片_4"/>
                  <wp:cNvGraphicFramePr/>
                  <a:graphic xmlns:a="http://schemas.openxmlformats.org/drawingml/2006/main">
                    <a:graphicData uri="http://schemas.openxmlformats.org/drawingml/2006/picture">
                      <pic:pic xmlns:pic="http://schemas.openxmlformats.org/drawingml/2006/picture">
                        <pic:nvPicPr>
                          <pic:cNvPr id="412" name="图片_4"/>
                          <pic:cNvPicPr/>
                        </pic:nvPicPr>
                        <pic:blipFill>
                          <a:blip r:embed="rId12"/>
                          <a:stretch>
                            <a:fillRect/>
                          </a:stretch>
                        </pic:blipFill>
                        <pic:spPr>
                          <a:xfrm>
                            <a:off x="0" y="0"/>
                            <a:ext cx="1156970" cy="90233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5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55寸电视含吊杆支架</w:t>
            </w:r>
          </w:p>
        </w:tc>
        <w:tc>
          <w:tcPr>
            <w:tcW w:w="58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469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1、屏幕尺寸≥55英寸，屏幕制式16:9，分辨率1920x1080；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2、★显示屏表面经防爆钢化玻璃处理，安全可靠；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3、设备整机尺寸1136*662*52；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4、多种信号接口：AV≥2路，HDMI≥2路，USB≥2路，VGA≥1路；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5、对比度：5000：1，亮度≤250 cd/m2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6、音频输入：环绕立体声；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7、内置双声道10W扬声器；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8、输入电压：100-240V AC,50/60HZ；</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9、★教师在中控台刷卡后显示终端上电自启动，无需遥控或按键开关</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10.质保一年</w:t>
            </w:r>
          </w:p>
        </w:tc>
        <w:tc>
          <w:tcPr>
            <w:tcW w:w="5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4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307975</wp:posOffset>
                  </wp:positionH>
                  <wp:positionV relativeFrom="paragraph">
                    <wp:posOffset>289560</wp:posOffset>
                  </wp:positionV>
                  <wp:extent cx="1479550" cy="730885"/>
                  <wp:effectExtent l="0" t="0" r="6350" b="12065"/>
                  <wp:wrapNone/>
                  <wp:docPr id="455" name="图片_1_SpCnt_1"/>
                  <wp:cNvGraphicFramePr/>
                  <a:graphic xmlns:a="http://schemas.openxmlformats.org/drawingml/2006/main">
                    <a:graphicData uri="http://schemas.openxmlformats.org/drawingml/2006/picture">
                      <pic:pic xmlns:pic="http://schemas.openxmlformats.org/drawingml/2006/picture">
                        <pic:nvPicPr>
                          <pic:cNvPr id="455" name="图片_1_SpCnt_1"/>
                          <pic:cNvPicPr/>
                        </pic:nvPicPr>
                        <pic:blipFill>
                          <a:blip r:embed="rId13"/>
                          <a:stretch>
                            <a:fillRect/>
                          </a:stretch>
                        </pic:blipFill>
                        <pic:spPr>
                          <a:xfrm>
                            <a:off x="0" y="0"/>
                            <a:ext cx="1479550" cy="73088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台</w:t>
            </w:r>
          </w:p>
        </w:tc>
        <w:tc>
          <w:tcPr>
            <w:tcW w:w="2655" w:type="dxa"/>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5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梯形拼接桌</w:t>
            </w:r>
          </w:p>
        </w:tc>
        <w:tc>
          <w:tcPr>
            <w:tcW w:w="5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469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1、台面板：采用优质高密度刨花板（三聚氰胺板），符合国家E1级板材标准，长为1200mm，宽为550mm，厚度25mm，面粘三聚氰胺胶面，PVC封边，具耐磨、防污、牢固耐用。台面形状是长条形。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前挡板：采用优质高密度中纤板，符合国家E1级板材标准，挡板尺寸为970MM*300MM，厚度15mm，面粘面粘三聚氰胺胶板，PU胶边，耐磨、防污、牢固耐用。挡板形状是条形(注：挡板长度跟随定制尺寸变化，宽度不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3、台面托架：采用优质冷轧钢板经冲压折弯工艺一体而成，长280MM*宽30MM材料壁厚：（3.0MM）表面采用防锈静电喷涂处理,实用牢固，承受力大。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4、侧脚管：前脚管采用优质蛋型冷轧钢管，尺寸为（20MM*50MM*壁厚1.5MM）后脚管(20MM*50MM*壁厚1.5MM),前后脚跨度为510MM表面采用防锈静电喷涂处理及塑料配件而成，整体牢固耐用，美观大方，承受力大。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5、横梁：采用优质φ50MM圆形冷轧钢管，长度为1035MM壁厚1.5MM,表面再经防锈静电喷涂处理，实用牢固，承受力大。（横梁长度跟随定制尺寸变化）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6、书网：采用优质φ14MM圆管 长度为940MM(厚度为1.0mm)经塑料件与圆管组合成型表面采用防锈静电喷涂处理。(书网长度跟随定制尺寸变化）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7、外观设计：采用人体工程理念及个性化需求，整件产品拼接好，接缝齐整，整体颜色基本相符，过渡自然;台架有旋钮拆叠装置，脚轮采用φ50MM  PVC万向脚轮带刹车，造型美观大方，有现代特色。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8、主要规格：台面打开尺寸：总长为1200mm;宽为550mm;高度为750mm；（注：尺寸可根据实际需求尺寸定制）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9.质保一年</w:t>
            </w:r>
          </w:p>
        </w:tc>
        <w:tc>
          <w:tcPr>
            <w:tcW w:w="5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4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2655"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31750</wp:posOffset>
                  </wp:positionH>
                  <wp:positionV relativeFrom="paragraph">
                    <wp:posOffset>74930</wp:posOffset>
                  </wp:positionV>
                  <wp:extent cx="1390650" cy="970915"/>
                  <wp:effectExtent l="0" t="0" r="0" b="635"/>
                  <wp:wrapNone/>
                  <wp:docPr id="456" name="图片_1_SpCnt_2"/>
                  <wp:cNvGraphicFramePr/>
                  <a:graphic xmlns:a="http://schemas.openxmlformats.org/drawingml/2006/main">
                    <a:graphicData uri="http://schemas.openxmlformats.org/drawingml/2006/picture">
                      <pic:pic xmlns:pic="http://schemas.openxmlformats.org/drawingml/2006/picture">
                        <pic:nvPicPr>
                          <pic:cNvPr id="456" name="图片_1_SpCnt_2"/>
                          <pic:cNvPicPr/>
                        </pic:nvPicPr>
                        <pic:blipFill>
                          <a:blip r:embed="rId14"/>
                          <a:stretch>
                            <a:fillRect/>
                          </a:stretch>
                        </pic:blipFill>
                        <pic:spPr>
                          <a:xfrm>
                            <a:off x="0" y="0"/>
                            <a:ext cx="1390650" cy="97091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5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靠背椅</w:t>
            </w:r>
          </w:p>
        </w:tc>
        <w:tc>
          <w:tcPr>
            <w:tcW w:w="5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469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1、abs塑料一次成型；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2、采用优质电镀钢脚，PU塑胶脚垫；</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3、坐垫采用优质网布，定型海绵，颜色可根据需求选择；</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4.质保一年</w:t>
            </w:r>
          </w:p>
        </w:tc>
        <w:tc>
          <w:tcPr>
            <w:tcW w:w="51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4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2655" w:type="dxa"/>
            <w:vMerge w:val="continue"/>
            <w:shd w:val="clear" w:color="auto" w:fill="FFFFFF"/>
            <w:vAlign w:val="center"/>
          </w:tcPr>
          <w:p>
            <w:pPr>
              <w:jc w:val="center"/>
              <w:rPr>
                <w:rFonts w:hint="eastAsia" w:ascii="宋体" w:hAnsi="宋体" w:eastAsia="宋体" w:cs="宋体"/>
                <w:b/>
                <w:bCs/>
                <w:i w:val="0"/>
                <w:iCs w:val="0"/>
                <w:color w:val="000000"/>
                <w:sz w:val="18"/>
                <w:szCs w:val="18"/>
                <w:u w:val="none"/>
              </w:rPr>
            </w:pPr>
          </w:p>
        </w:tc>
      </w:tr>
    </w:tbl>
    <w:p>
      <w:pPr>
        <w:snapToGrid w:val="0"/>
        <w:spacing w:line="440" w:lineRule="exact"/>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PBL教室基装要求</w:t>
      </w:r>
    </w:p>
    <w:tbl>
      <w:tblPr>
        <w:tblStyle w:val="17"/>
        <w:tblW w:w="1004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2"/>
        <w:gridCol w:w="1799"/>
        <w:gridCol w:w="2107"/>
        <w:gridCol w:w="3899"/>
        <w:gridCol w:w="1213"/>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trPr>
        <w:tc>
          <w:tcPr>
            <w:tcW w:w="4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82" name="Line_47"/>
                  <wp:cNvGraphicFramePr/>
                  <a:graphic xmlns:a="http://schemas.openxmlformats.org/drawingml/2006/main">
                    <a:graphicData uri="http://schemas.openxmlformats.org/drawingml/2006/picture">
                      <pic:pic xmlns:pic="http://schemas.openxmlformats.org/drawingml/2006/picture">
                        <pic:nvPicPr>
                          <pic:cNvPr id="482" name="Line_4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57" name="Line_49"/>
                  <wp:cNvGraphicFramePr/>
                  <a:graphic xmlns:a="http://schemas.openxmlformats.org/drawingml/2006/main">
                    <a:graphicData uri="http://schemas.openxmlformats.org/drawingml/2006/picture">
                      <pic:pic xmlns:pic="http://schemas.openxmlformats.org/drawingml/2006/picture">
                        <pic:nvPicPr>
                          <pic:cNvPr id="457" name="Line_49"/>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78" name="Line_57"/>
                  <wp:cNvGraphicFramePr/>
                  <a:graphic xmlns:a="http://schemas.openxmlformats.org/drawingml/2006/main">
                    <a:graphicData uri="http://schemas.openxmlformats.org/drawingml/2006/picture">
                      <pic:pic xmlns:pic="http://schemas.openxmlformats.org/drawingml/2006/picture">
                        <pic:nvPicPr>
                          <pic:cNvPr id="478" name="Line_5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71" name="Line_49_SpCnt_1"/>
                  <wp:cNvGraphicFramePr/>
                  <a:graphic xmlns:a="http://schemas.openxmlformats.org/drawingml/2006/main">
                    <a:graphicData uri="http://schemas.openxmlformats.org/drawingml/2006/picture">
                      <pic:pic xmlns:pic="http://schemas.openxmlformats.org/drawingml/2006/picture">
                        <pic:nvPicPr>
                          <pic:cNvPr id="471" name="Line_49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66" name="Line_57_SpCnt_1"/>
                  <wp:cNvGraphicFramePr/>
                  <a:graphic xmlns:a="http://schemas.openxmlformats.org/drawingml/2006/main">
                    <a:graphicData uri="http://schemas.openxmlformats.org/drawingml/2006/picture">
                      <pic:pic xmlns:pic="http://schemas.openxmlformats.org/drawingml/2006/picture">
                        <pic:nvPicPr>
                          <pic:cNvPr id="466" name="Line_57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70" name="Line_69"/>
                  <wp:cNvGraphicFramePr/>
                  <a:graphic xmlns:a="http://schemas.openxmlformats.org/drawingml/2006/main">
                    <a:graphicData uri="http://schemas.openxmlformats.org/drawingml/2006/picture">
                      <pic:pic xmlns:pic="http://schemas.openxmlformats.org/drawingml/2006/picture">
                        <pic:nvPicPr>
                          <pic:cNvPr id="470" name="Line_69"/>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61" name="Line_68"/>
                  <wp:cNvGraphicFramePr/>
                  <a:graphic xmlns:a="http://schemas.openxmlformats.org/drawingml/2006/main">
                    <a:graphicData uri="http://schemas.openxmlformats.org/drawingml/2006/picture">
                      <pic:pic xmlns:pic="http://schemas.openxmlformats.org/drawingml/2006/picture">
                        <pic:nvPicPr>
                          <pic:cNvPr id="461" name="Line_68"/>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63" name="Line_67"/>
                  <wp:cNvGraphicFramePr/>
                  <a:graphic xmlns:a="http://schemas.openxmlformats.org/drawingml/2006/main">
                    <a:graphicData uri="http://schemas.openxmlformats.org/drawingml/2006/picture">
                      <pic:pic xmlns:pic="http://schemas.openxmlformats.org/drawingml/2006/picture">
                        <pic:nvPicPr>
                          <pic:cNvPr id="463" name="Line_6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65" name="Line_66"/>
                  <wp:cNvGraphicFramePr/>
                  <a:graphic xmlns:a="http://schemas.openxmlformats.org/drawingml/2006/main">
                    <a:graphicData uri="http://schemas.openxmlformats.org/drawingml/2006/picture">
                      <pic:pic xmlns:pic="http://schemas.openxmlformats.org/drawingml/2006/picture">
                        <pic:nvPicPr>
                          <pic:cNvPr id="465" name="Line_66"/>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69" name="Line_56"/>
                  <wp:cNvGraphicFramePr/>
                  <a:graphic xmlns:a="http://schemas.openxmlformats.org/drawingml/2006/main">
                    <a:graphicData uri="http://schemas.openxmlformats.org/drawingml/2006/picture">
                      <pic:pic xmlns:pic="http://schemas.openxmlformats.org/drawingml/2006/picture">
                        <pic:nvPicPr>
                          <pic:cNvPr id="469" name="Line_56"/>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64" name="Line_65"/>
                  <wp:cNvGraphicFramePr/>
                  <a:graphic xmlns:a="http://schemas.openxmlformats.org/drawingml/2006/main">
                    <a:graphicData uri="http://schemas.openxmlformats.org/drawingml/2006/picture">
                      <pic:pic xmlns:pic="http://schemas.openxmlformats.org/drawingml/2006/picture">
                        <pic:nvPicPr>
                          <pic:cNvPr id="464" name="Line_65"/>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60" name="Line_55"/>
                  <wp:cNvGraphicFramePr/>
                  <a:graphic xmlns:a="http://schemas.openxmlformats.org/drawingml/2006/main">
                    <a:graphicData uri="http://schemas.openxmlformats.org/drawingml/2006/picture">
                      <pic:pic xmlns:pic="http://schemas.openxmlformats.org/drawingml/2006/picture">
                        <pic:nvPicPr>
                          <pic:cNvPr id="460" name="Line_55"/>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73" name="Line_50"/>
                  <wp:cNvGraphicFramePr/>
                  <a:graphic xmlns:a="http://schemas.openxmlformats.org/drawingml/2006/main">
                    <a:graphicData uri="http://schemas.openxmlformats.org/drawingml/2006/picture">
                      <pic:pic xmlns:pic="http://schemas.openxmlformats.org/drawingml/2006/picture">
                        <pic:nvPicPr>
                          <pic:cNvPr id="473" name="Line_50"/>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68" name="Line_49_SpCnt_2"/>
                  <wp:cNvGraphicFramePr/>
                  <a:graphic xmlns:a="http://schemas.openxmlformats.org/drawingml/2006/main">
                    <a:graphicData uri="http://schemas.openxmlformats.org/drawingml/2006/picture">
                      <pic:pic xmlns:pic="http://schemas.openxmlformats.org/drawingml/2006/picture">
                        <pic:nvPicPr>
                          <pic:cNvPr id="468" name="Line_49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72" name="Line_48"/>
                  <wp:cNvGraphicFramePr/>
                  <a:graphic xmlns:a="http://schemas.openxmlformats.org/drawingml/2006/main">
                    <a:graphicData uri="http://schemas.openxmlformats.org/drawingml/2006/picture">
                      <pic:pic xmlns:pic="http://schemas.openxmlformats.org/drawingml/2006/picture">
                        <pic:nvPicPr>
                          <pic:cNvPr id="472" name="Line_48"/>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77" name="Line_47_SpCnt_1"/>
                  <wp:cNvGraphicFramePr/>
                  <a:graphic xmlns:a="http://schemas.openxmlformats.org/drawingml/2006/main">
                    <a:graphicData uri="http://schemas.openxmlformats.org/drawingml/2006/picture">
                      <pic:pic xmlns:pic="http://schemas.openxmlformats.org/drawingml/2006/picture">
                        <pic:nvPicPr>
                          <pic:cNvPr id="477" name="Line_47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67" name="Line_69_SpCnt_1"/>
                  <wp:cNvGraphicFramePr/>
                  <a:graphic xmlns:a="http://schemas.openxmlformats.org/drawingml/2006/main">
                    <a:graphicData uri="http://schemas.openxmlformats.org/drawingml/2006/picture">
                      <pic:pic xmlns:pic="http://schemas.openxmlformats.org/drawingml/2006/picture">
                        <pic:nvPicPr>
                          <pic:cNvPr id="467" name="Line_69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59" name="Line_68_SpCnt_1"/>
                  <wp:cNvGraphicFramePr/>
                  <a:graphic xmlns:a="http://schemas.openxmlformats.org/drawingml/2006/main">
                    <a:graphicData uri="http://schemas.openxmlformats.org/drawingml/2006/picture">
                      <pic:pic xmlns:pic="http://schemas.openxmlformats.org/drawingml/2006/picture">
                        <pic:nvPicPr>
                          <pic:cNvPr id="459" name="Line_68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84" name="Line_67_SpCnt_1"/>
                  <wp:cNvGraphicFramePr/>
                  <a:graphic xmlns:a="http://schemas.openxmlformats.org/drawingml/2006/main">
                    <a:graphicData uri="http://schemas.openxmlformats.org/drawingml/2006/picture">
                      <pic:pic xmlns:pic="http://schemas.openxmlformats.org/drawingml/2006/picture">
                        <pic:nvPicPr>
                          <pic:cNvPr id="484" name="Line_67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81" name="Line_66_SpCnt_1"/>
                  <wp:cNvGraphicFramePr/>
                  <a:graphic xmlns:a="http://schemas.openxmlformats.org/drawingml/2006/main">
                    <a:graphicData uri="http://schemas.openxmlformats.org/drawingml/2006/picture">
                      <pic:pic xmlns:pic="http://schemas.openxmlformats.org/drawingml/2006/picture">
                        <pic:nvPicPr>
                          <pic:cNvPr id="481" name="Line_66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76" name="Line_65_SpCnt_1"/>
                  <wp:cNvGraphicFramePr/>
                  <a:graphic xmlns:a="http://schemas.openxmlformats.org/drawingml/2006/main">
                    <a:graphicData uri="http://schemas.openxmlformats.org/drawingml/2006/picture">
                      <pic:pic xmlns:pic="http://schemas.openxmlformats.org/drawingml/2006/picture">
                        <pic:nvPicPr>
                          <pic:cNvPr id="476" name="Line_65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80" name="Line_57_SpCnt_2"/>
                  <wp:cNvGraphicFramePr/>
                  <a:graphic xmlns:a="http://schemas.openxmlformats.org/drawingml/2006/main">
                    <a:graphicData uri="http://schemas.openxmlformats.org/drawingml/2006/picture">
                      <pic:pic xmlns:pic="http://schemas.openxmlformats.org/drawingml/2006/picture">
                        <pic:nvPicPr>
                          <pic:cNvPr id="480" name="Line_57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83" name="Line_56_SpCnt_1"/>
                  <wp:cNvGraphicFramePr/>
                  <a:graphic xmlns:a="http://schemas.openxmlformats.org/drawingml/2006/main">
                    <a:graphicData uri="http://schemas.openxmlformats.org/drawingml/2006/picture">
                      <pic:pic xmlns:pic="http://schemas.openxmlformats.org/drawingml/2006/picture">
                        <pic:nvPicPr>
                          <pic:cNvPr id="483" name="Line_56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79" name="Line_55_SpCnt_1"/>
                  <wp:cNvGraphicFramePr/>
                  <a:graphic xmlns:a="http://schemas.openxmlformats.org/drawingml/2006/main">
                    <a:graphicData uri="http://schemas.openxmlformats.org/drawingml/2006/picture">
                      <pic:pic xmlns:pic="http://schemas.openxmlformats.org/drawingml/2006/picture">
                        <pic:nvPicPr>
                          <pic:cNvPr id="479" name="Line_55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75" name="Line_48_SpCnt_1"/>
                  <wp:cNvGraphicFramePr/>
                  <a:graphic xmlns:a="http://schemas.openxmlformats.org/drawingml/2006/main">
                    <a:graphicData uri="http://schemas.openxmlformats.org/drawingml/2006/picture">
                      <pic:pic xmlns:pic="http://schemas.openxmlformats.org/drawingml/2006/picture">
                        <pic:nvPicPr>
                          <pic:cNvPr id="475" name="Line_48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62" name="Line_50_SpCnt_1"/>
                  <wp:cNvGraphicFramePr/>
                  <a:graphic xmlns:a="http://schemas.openxmlformats.org/drawingml/2006/main">
                    <a:graphicData uri="http://schemas.openxmlformats.org/drawingml/2006/picture">
                      <pic:pic xmlns:pic="http://schemas.openxmlformats.org/drawingml/2006/picture">
                        <pic:nvPicPr>
                          <pic:cNvPr id="462" name="Line_50_SpCnt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58" name="Line_47_SpCnt_2"/>
                  <wp:cNvGraphicFramePr/>
                  <a:graphic xmlns:a="http://schemas.openxmlformats.org/drawingml/2006/main">
                    <a:graphicData uri="http://schemas.openxmlformats.org/drawingml/2006/picture">
                      <pic:pic xmlns:pic="http://schemas.openxmlformats.org/drawingml/2006/picture">
                        <pic:nvPicPr>
                          <pic:cNvPr id="458" name="Line_47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92" name="Line_69_SpCnt_2"/>
                  <wp:cNvGraphicFramePr/>
                  <a:graphic xmlns:a="http://schemas.openxmlformats.org/drawingml/2006/main">
                    <a:graphicData uri="http://schemas.openxmlformats.org/drawingml/2006/picture">
                      <pic:pic xmlns:pic="http://schemas.openxmlformats.org/drawingml/2006/picture">
                        <pic:nvPicPr>
                          <pic:cNvPr id="492" name="Line_69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85" name="Line_68_SpCnt_2"/>
                  <wp:cNvGraphicFramePr/>
                  <a:graphic xmlns:a="http://schemas.openxmlformats.org/drawingml/2006/main">
                    <a:graphicData uri="http://schemas.openxmlformats.org/drawingml/2006/picture">
                      <pic:pic xmlns:pic="http://schemas.openxmlformats.org/drawingml/2006/picture">
                        <pic:nvPicPr>
                          <pic:cNvPr id="485" name="Line_68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86" name="Line_67_SpCnt_2"/>
                  <wp:cNvGraphicFramePr/>
                  <a:graphic xmlns:a="http://schemas.openxmlformats.org/drawingml/2006/main">
                    <a:graphicData uri="http://schemas.openxmlformats.org/drawingml/2006/picture">
                      <pic:pic xmlns:pic="http://schemas.openxmlformats.org/drawingml/2006/picture">
                        <pic:nvPicPr>
                          <pic:cNvPr id="486" name="Line_67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87" name="Line_66_SpCnt_2"/>
                  <wp:cNvGraphicFramePr/>
                  <a:graphic xmlns:a="http://schemas.openxmlformats.org/drawingml/2006/main">
                    <a:graphicData uri="http://schemas.openxmlformats.org/drawingml/2006/picture">
                      <pic:pic xmlns:pic="http://schemas.openxmlformats.org/drawingml/2006/picture">
                        <pic:nvPicPr>
                          <pic:cNvPr id="487" name="Line_66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88" name="Line_56_SpCnt_2"/>
                  <wp:cNvGraphicFramePr/>
                  <a:graphic xmlns:a="http://schemas.openxmlformats.org/drawingml/2006/main">
                    <a:graphicData uri="http://schemas.openxmlformats.org/drawingml/2006/picture">
                      <pic:pic xmlns:pic="http://schemas.openxmlformats.org/drawingml/2006/picture">
                        <pic:nvPicPr>
                          <pic:cNvPr id="488" name="Line_56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89" name="Line_65_SpCnt_2"/>
                  <wp:cNvGraphicFramePr/>
                  <a:graphic xmlns:a="http://schemas.openxmlformats.org/drawingml/2006/main">
                    <a:graphicData uri="http://schemas.openxmlformats.org/drawingml/2006/picture">
                      <pic:pic xmlns:pic="http://schemas.openxmlformats.org/drawingml/2006/picture">
                        <pic:nvPicPr>
                          <pic:cNvPr id="489" name="Line_65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90" name="Line_55_SpCnt_2"/>
                  <wp:cNvGraphicFramePr/>
                  <a:graphic xmlns:a="http://schemas.openxmlformats.org/drawingml/2006/main">
                    <a:graphicData uri="http://schemas.openxmlformats.org/drawingml/2006/picture">
                      <pic:pic xmlns:pic="http://schemas.openxmlformats.org/drawingml/2006/picture">
                        <pic:nvPicPr>
                          <pic:cNvPr id="490" name="Line_55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74" name="Line_48_SpCnt_2"/>
                  <wp:cNvGraphicFramePr/>
                  <a:graphic xmlns:a="http://schemas.openxmlformats.org/drawingml/2006/main">
                    <a:graphicData uri="http://schemas.openxmlformats.org/drawingml/2006/picture">
                      <pic:pic xmlns:pic="http://schemas.openxmlformats.org/drawingml/2006/picture">
                        <pic:nvPicPr>
                          <pic:cNvPr id="474" name="Line_48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190500</wp:posOffset>
                  </wp:positionV>
                  <wp:extent cx="635" cy="0"/>
                  <wp:effectExtent l="0" t="0" r="0" b="0"/>
                  <wp:wrapNone/>
                  <wp:docPr id="491" name="Line_50_SpCnt_2"/>
                  <wp:cNvGraphicFramePr/>
                  <a:graphic xmlns:a="http://schemas.openxmlformats.org/drawingml/2006/main">
                    <a:graphicData uri="http://schemas.openxmlformats.org/drawingml/2006/picture">
                      <pic:pic xmlns:pic="http://schemas.openxmlformats.org/drawingml/2006/picture">
                        <pic:nvPicPr>
                          <pic:cNvPr id="491" name="Line_50_SpCnt_2"/>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仿宋"/>
                <w:b/>
                <w:bCs/>
                <w:i w:val="0"/>
                <w:iCs w:val="0"/>
                <w:color w:val="000000"/>
                <w:kern w:val="0"/>
                <w:sz w:val="22"/>
                <w:szCs w:val="22"/>
                <w:u w:val="none"/>
                <w:lang w:val="en-US" w:eastAsia="zh-CN" w:bidi="ar"/>
              </w:rPr>
              <w:t>序号</w:t>
            </w:r>
          </w:p>
        </w:tc>
        <w:tc>
          <w:tcPr>
            <w:tcW w:w="179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项目名 称</w:t>
            </w:r>
          </w:p>
        </w:tc>
        <w:tc>
          <w:tcPr>
            <w:tcW w:w="2107" w:type="dxa"/>
            <w:shd w:val="clear" w:color="auto" w:fill="auto"/>
            <w:noWrap/>
            <w:vAlign w:val="center"/>
          </w:tcPr>
          <w:p>
            <w:pPr>
              <w:jc w:val="center"/>
              <w:rPr>
                <w:rFonts w:hint="eastAsia" w:ascii="仿宋" w:hAnsi="仿宋" w:eastAsia="仿宋" w:cs="仿宋"/>
                <w:b/>
                <w:bCs/>
                <w:i w:val="0"/>
                <w:iCs w:val="0"/>
                <w:color w:val="000000"/>
                <w:sz w:val="22"/>
                <w:szCs w:val="22"/>
                <w:u w:val="none"/>
              </w:rPr>
            </w:pPr>
          </w:p>
        </w:tc>
        <w:tc>
          <w:tcPr>
            <w:tcW w:w="389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技术要求</w:t>
            </w:r>
          </w:p>
        </w:tc>
        <w:tc>
          <w:tcPr>
            <w:tcW w:w="121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6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79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墙面木基层</w:t>
            </w:r>
          </w:p>
        </w:tc>
        <w:tc>
          <w:tcPr>
            <w:tcW w:w="210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材料、辅材及人工</w:t>
            </w:r>
          </w:p>
        </w:tc>
        <w:tc>
          <w:tcPr>
            <w:tcW w:w="3899"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1.墙面木基层先做轻钢龙骨，再做基层板。</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2.木基层对一体机、辅助屏安装处进行加固处理</w:t>
            </w:r>
          </w:p>
        </w:tc>
        <w:tc>
          <w:tcPr>
            <w:tcW w:w="121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6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79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讲台墙面格栅</w:t>
            </w:r>
          </w:p>
        </w:tc>
        <w:tc>
          <w:tcPr>
            <w:tcW w:w="210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材料、辅材及人工</w:t>
            </w:r>
          </w:p>
        </w:tc>
        <w:tc>
          <w:tcPr>
            <w:tcW w:w="3899"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1.墙面饰面板采用聚脂钎维板</w:t>
            </w:r>
          </w:p>
        </w:tc>
        <w:tc>
          <w:tcPr>
            <w:tcW w:w="121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6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79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墙面美化</w:t>
            </w:r>
          </w:p>
        </w:tc>
        <w:tc>
          <w:tcPr>
            <w:tcW w:w="210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材料、辅材及人工</w:t>
            </w:r>
          </w:p>
        </w:tc>
        <w:tc>
          <w:tcPr>
            <w:tcW w:w="3899"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墙面贴墙布</w:t>
            </w:r>
          </w:p>
        </w:tc>
        <w:tc>
          <w:tcPr>
            <w:tcW w:w="121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6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79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PVC地板</w:t>
            </w:r>
          </w:p>
        </w:tc>
        <w:tc>
          <w:tcPr>
            <w:tcW w:w="210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材料、辅材及人工</w:t>
            </w:r>
          </w:p>
        </w:tc>
        <w:tc>
          <w:tcPr>
            <w:tcW w:w="3899"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1.教室地面：铺设地胶。</w:t>
            </w:r>
          </w:p>
        </w:tc>
        <w:tc>
          <w:tcPr>
            <w:tcW w:w="121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6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79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墙面踢脚线</w:t>
            </w:r>
          </w:p>
        </w:tc>
        <w:tc>
          <w:tcPr>
            <w:tcW w:w="210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材料、辅材及人工</w:t>
            </w:r>
          </w:p>
        </w:tc>
        <w:tc>
          <w:tcPr>
            <w:tcW w:w="3899"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1.采用优质木踢脚（颜色样式根据设计）</w:t>
            </w:r>
          </w:p>
        </w:tc>
        <w:tc>
          <w:tcPr>
            <w:tcW w:w="121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6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79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教室灯盘</w:t>
            </w:r>
          </w:p>
        </w:tc>
        <w:tc>
          <w:tcPr>
            <w:tcW w:w="210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材料</w:t>
            </w:r>
          </w:p>
        </w:tc>
        <w:tc>
          <w:tcPr>
            <w:tcW w:w="3899"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1.采用款0.6mx0.6m灯盘.</w:t>
            </w:r>
          </w:p>
        </w:tc>
        <w:tc>
          <w:tcPr>
            <w:tcW w:w="121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6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79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灯具安装</w:t>
            </w:r>
          </w:p>
        </w:tc>
        <w:tc>
          <w:tcPr>
            <w:tcW w:w="210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人工费</w:t>
            </w:r>
          </w:p>
        </w:tc>
        <w:tc>
          <w:tcPr>
            <w:tcW w:w="3899"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1.原灯具拆除和新灯具安装费用</w:t>
            </w:r>
          </w:p>
        </w:tc>
        <w:tc>
          <w:tcPr>
            <w:tcW w:w="121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6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4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79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教室强弱电线材及人工</w:t>
            </w:r>
          </w:p>
        </w:tc>
        <w:tc>
          <w:tcPr>
            <w:tcW w:w="210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材料、辅材及人工</w:t>
            </w:r>
          </w:p>
        </w:tc>
        <w:tc>
          <w:tcPr>
            <w:tcW w:w="3899"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1.教室灯光及弱电改造，教室设备线路提前预埋（包含不限于PBL教室互动等设备线路）。</w:t>
            </w:r>
          </w:p>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2.提供针对每间的教室的施工改造方案。</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3.方案和材质、尺寸、颜色、样式设计等必须由用户认可签字后施工。</w:t>
            </w:r>
          </w:p>
        </w:tc>
        <w:tc>
          <w:tcPr>
            <w:tcW w:w="121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79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墙面开槽埋线</w:t>
            </w:r>
          </w:p>
        </w:tc>
        <w:tc>
          <w:tcPr>
            <w:tcW w:w="210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人工</w:t>
            </w:r>
          </w:p>
        </w:tc>
        <w:tc>
          <w:tcPr>
            <w:tcW w:w="3899"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1.墙面开槽.含开槽埋大屏、辅助屏支架。</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2.墙面到地面讲台1.5m线槽.</w:t>
            </w:r>
          </w:p>
        </w:tc>
        <w:tc>
          <w:tcPr>
            <w:tcW w:w="121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79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材料运输费</w:t>
            </w:r>
          </w:p>
        </w:tc>
        <w:tc>
          <w:tcPr>
            <w:tcW w:w="210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人工</w:t>
            </w:r>
          </w:p>
        </w:tc>
        <w:tc>
          <w:tcPr>
            <w:tcW w:w="3899"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1.材料运输及上楼搬运费</w:t>
            </w:r>
          </w:p>
        </w:tc>
        <w:tc>
          <w:tcPr>
            <w:tcW w:w="121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2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79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清洁出渣</w:t>
            </w:r>
          </w:p>
        </w:tc>
        <w:tc>
          <w:tcPr>
            <w:tcW w:w="210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人工</w:t>
            </w:r>
          </w:p>
        </w:tc>
        <w:tc>
          <w:tcPr>
            <w:tcW w:w="3899"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1.工程拆除出渣费用.</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2.工程清洁费.</w:t>
            </w:r>
          </w:p>
        </w:tc>
        <w:tc>
          <w:tcPr>
            <w:tcW w:w="121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r>
    </w:tbl>
    <w:p>
      <w:pPr>
        <w:pStyle w:val="4"/>
        <w:bidi w:val="0"/>
        <w:outlineLvl w:val="0"/>
        <w:rPr>
          <w:rFonts w:hint="eastAsia" w:ascii="仿宋" w:hAnsi="仿宋" w:eastAsia="仿宋" w:cs="仿宋"/>
          <w:sz w:val="28"/>
          <w:szCs w:val="28"/>
        </w:rPr>
      </w:pPr>
      <w:bookmarkStart w:id="38" w:name="_Toc190"/>
      <w:r>
        <w:rPr>
          <w:rFonts w:hint="eastAsia" w:ascii="仿宋" w:hAnsi="仿宋" w:eastAsia="仿宋" w:cs="仿宋"/>
          <w:sz w:val="28"/>
          <w:szCs w:val="28"/>
        </w:rPr>
        <w:t>三、商务要求</w:t>
      </w:r>
      <w:bookmarkEnd w:id="38"/>
    </w:p>
    <w:p>
      <w:pPr>
        <w:adjustRightInd w:val="0"/>
        <w:snapToGrid w:val="0"/>
        <w:spacing w:line="440" w:lineRule="exact"/>
        <w:outlineLvl w:val="1"/>
        <w:rPr>
          <w:rFonts w:ascii="仿宋" w:hAnsi="仿宋" w:eastAsia="仿宋" w:cs="宋体"/>
          <w:b/>
          <w:color w:val="auto"/>
          <w:sz w:val="28"/>
          <w:szCs w:val="28"/>
        </w:rPr>
      </w:pPr>
      <w:bookmarkStart w:id="39" w:name="_Toc26858"/>
      <w:bookmarkStart w:id="40" w:name="_Toc19839"/>
      <w:bookmarkStart w:id="41" w:name="_Toc8090"/>
      <w:r>
        <w:rPr>
          <w:rFonts w:hint="eastAsia" w:ascii="仿宋" w:hAnsi="仿宋" w:eastAsia="仿宋" w:cs="宋体"/>
          <w:b/>
          <w:sz w:val="28"/>
          <w:szCs w:val="28"/>
        </w:rPr>
        <w:t>（一）供货方</w:t>
      </w:r>
      <w:r>
        <w:rPr>
          <w:rFonts w:hint="eastAsia" w:ascii="仿宋" w:hAnsi="仿宋" w:eastAsia="仿宋" w:cs="宋体"/>
          <w:b/>
          <w:color w:val="auto"/>
          <w:sz w:val="28"/>
          <w:szCs w:val="28"/>
        </w:rPr>
        <w:t>式、时间、地点</w:t>
      </w:r>
      <w:bookmarkEnd w:id="39"/>
      <w:bookmarkEnd w:id="40"/>
      <w:bookmarkEnd w:id="41"/>
    </w:p>
    <w:p>
      <w:pPr>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1、合同签订后</w:t>
      </w:r>
      <w:r>
        <w:rPr>
          <w:rFonts w:hint="eastAsia" w:ascii="仿宋" w:hAnsi="仿宋" w:cs="宋体"/>
          <w:color w:val="auto"/>
          <w:sz w:val="28"/>
          <w:szCs w:val="28"/>
          <w:lang w:val="en-US" w:eastAsia="zh-CN"/>
        </w:rPr>
        <w:t>15个工作日</w:t>
      </w:r>
      <w:r>
        <w:rPr>
          <w:rFonts w:hint="eastAsia" w:ascii="仿宋" w:hAnsi="仿宋" w:eastAsia="仿宋" w:cs="宋体"/>
          <w:color w:val="auto"/>
          <w:sz w:val="28"/>
          <w:szCs w:val="28"/>
        </w:rPr>
        <w:t>内完成</w:t>
      </w:r>
      <w:r>
        <w:rPr>
          <w:rFonts w:hint="eastAsia" w:ascii="仿宋" w:hAnsi="仿宋" w:eastAsia="仿宋" w:cs="宋体"/>
          <w:color w:val="auto"/>
          <w:spacing w:val="-2"/>
          <w:sz w:val="28"/>
          <w:szCs w:val="28"/>
        </w:rPr>
        <w:t>交货</w:t>
      </w:r>
      <w:r>
        <w:rPr>
          <w:rFonts w:hint="eastAsia" w:ascii="仿宋" w:hAnsi="仿宋" w:cs="宋体"/>
          <w:color w:val="auto"/>
          <w:spacing w:val="-2"/>
          <w:sz w:val="28"/>
          <w:szCs w:val="28"/>
          <w:lang w:eastAsia="zh-CN"/>
        </w:rPr>
        <w:t>、安装、验收</w:t>
      </w:r>
      <w:r>
        <w:rPr>
          <w:rFonts w:hint="eastAsia" w:ascii="仿宋" w:hAnsi="仿宋" w:eastAsia="仿宋" w:cs="宋体"/>
          <w:color w:val="auto"/>
          <w:spacing w:val="-2"/>
          <w:sz w:val="28"/>
          <w:szCs w:val="28"/>
        </w:rPr>
        <w:t>，成交人须对因安装调试错误所导致的货物损坏等承担全部赔偿责任</w:t>
      </w:r>
      <w:r>
        <w:rPr>
          <w:rFonts w:hint="eastAsia" w:ascii="仿宋" w:hAnsi="仿宋" w:eastAsia="仿宋" w:cs="宋体"/>
          <w:color w:val="auto"/>
          <w:sz w:val="28"/>
          <w:szCs w:val="28"/>
        </w:rPr>
        <w:t>。</w:t>
      </w:r>
    </w:p>
    <w:p>
      <w:pPr>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2、交货地点：采购人指定地点。</w:t>
      </w:r>
    </w:p>
    <w:p>
      <w:pPr>
        <w:adjustRightInd w:val="0"/>
        <w:snapToGrid w:val="0"/>
        <w:spacing w:line="440" w:lineRule="exact"/>
        <w:outlineLvl w:val="1"/>
        <w:rPr>
          <w:rFonts w:ascii="仿宋" w:hAnsi="仿宋" w:eastAsia="仿宋" w:cs="宋体"/>
          <w:b/>
          <w:color w:val="auto"/>
          <w:sz w:val="28"/>
          <w:szCs w:val="28"/>
        </w:rPr>
      </w:pPr>
      <w:bookmarkStart w:id="42" w:name="_Toc878"/>
      <w:bookmarkStart w:id="43" w:name="_Toc10583"/>
      <w:bookmarkStart w:id="44" w:name="_Toc7994"/>
      <w:r>
        <w:rPr>
          <w:rFonts w:hint="eastAsia" w:ascii="仿宋" w:hAnsi="仿宋" w:eastAsia="仿宋" w:cs="宋体"/>
          <w:b/>
          <w:color w:val="auto"/>
          <w:sz w:val="28"/>
          <w:szCs w:val="28"/>
        </w:rPr>
        <w:t>（二）质量保证及售后</w:t>
      </w:r>
      <w:bookmarkEnd w:id="42"/>
      <w:bookmarkEnd w:id="43"/>
      <w:bookmarkEnd w:id="44"/>
    </w:p>
    <w:p>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1、产品质量保证期</w:t>
      </w:r>
    </w:p>
    <w:p>
      <w:pPr>
        <w:snapToGrid w:val="0"/>
        <w:spacing w:line="440" w:lineRule="exac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rPr>
        <w:t>（1）从安装验收合格</w:t>
      </w:r>
      <w:r>
        <w:rPr>
          <w:rFonts w:hint="eastAsia" w:ascii="仿宋" w:hAnsi="仿宋" w:eastAsia="仿宋" w:cs="宋体"/>
          <w:color w:val="auto"/>
          <w:kern w:val="0"/>
          <w:sz w:val="28"/>
          <w:szCs w:val="28"/>
          <w:highlight w:val="none"/>
        </w:rPr>
        <w:t>之日起</w:t>
      </w:r>
      <w:r>
        <w:rPr>
          <w:rFonts w:hint="eastAsia" w:ascii="仿宋" w:hAnsi="仿宋" w:cs="宋体"/>
          <w:color w:val="0000FF"/>
          <w:kern w:val="0"/>
          <w:sz w:val="28"/>
          <w:szCs w:val="28"/>
          <w:highlight w:val="none"/>
          <w:lang w:val="en-US" w:eastAsia="zh-CN"/>
        </w:rPr>
        <w:t>1</w:t>
      </w:r>
      <w:r>
        <w:rPr>
          <w:rFonts w:hint="eastAsia" w:ascii="仿宋" w:hAnsi="仿宋" w:eastAsia="仿宋" w:cs="宋体"/>
          <w:color w:val="auto"/>
          <w:kern w:val="0"/>
          <w:sz w:val="28"/>
          <w:szCs w:val="28"/>
          <w:highlight w:val="none"/>
        </w:rPr>
        <w:t>年。</w:t>
      </w:r>
    </w:p>
    <w:p>
      <w:pPr>
        <w:snapToGrid w:val="0"/>
        <w:spacing w:line="440" w:lineRule="exact"/>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（2）产品自身质量问题的产品或零配件进行免费维修、更换。</w:t>
      </w:r>
    </w:p>
    <w:p>
      <w:pPr>
        <w:snapToGrid w:val="0"/>
        <w:spacing w:line="440" w:lineRule="exact"/>
        <w:ind w:firstLine="140" w:firstLineChars="50"/>
        <w:rPr>
          <w:rFonts w:ascii="仿宋" w:hAnsi="仿宋" w:eastAsia="仿宋" w:cs="宋体"/>
          <w:kern w:val="0"/>
          <w:sz w:val="28"/>
          <w:szCs w:val="28"/>
        </w:rPr>
      </w:pPr>
      <w:r>
        <w:rPr>
          <w:rFonts w:hint="eastAsia" w:ascii="仿宋" w:hAnsi="仿宋" w:eastAsia="仿宋" w:cs="宋体"/>
          <w:kern w:val="0"/>
          <w:sz w:val="28"/>
          <w:szCs w:val="28"/>
        </w:rPr>
        <w:t>2、售后服务内容</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供应商和厂家在质量保证期内应当为采购人提供以下技术支持服务：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（1）质量保证期内服务要求</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①电话咨询</w:t>
      </w:r>
    </w:p>
    <w:p>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中标人和厂家应当为采购人提供技术援助电话，解答采购人在使用中遇到的问题，及时为采购人提出解决问题的建议。</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②现场响应</w:t>
      </w:r>
    </w:p>
    <w:p>
      <w:pPr>
        <w:snapToGrid w:val="0"/>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采购人遇到使用及技术问题，电话咨询不能解决的，中标人和厂家应在24小时内采取相应措施，提供上门服务，确保产品正常工作；无法在24小时内解决的，应在48小时内提供备用产品，使采购人能够正常使用。</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③技术升级</w:t>
      </w:r>
    </w:p>
    <w:p>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在质保期内，如果供应商和厂家的产品技术升级，供应商应及时通知采购人，如采购人有相应要求，供应商和厂家应对采购人进行免费升级服务。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（2）质保期外服务要求</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①质量保证期过后，供应商和厂家应同样提供免费电话咨询服务，并应承诺提供产品上门维护服务。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②质量保证期过后，采购人需要继续由原供应商和厂家提供售后服务的，该供应商和厂家应以优惠价格提供售后服务。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（3）故障响应时间要求</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投标人接到使用方产品出现问题的通知后立即作出响应，24小内到达现场进行处理。</w:t>
      </w:r>
    </w:p>
    <w:p>
      <w:pPr>
        <w:adjustRightInd w:val="0"/>
        <w:snapToGrid w:val="0"/>
        <w:spacing w:line="440" w:lineRule="exact"/>
        <w:outlineLvl w:val="1"/>
        <w:rPr>
          <w:rFonts w:ascii="仿宋" w:hAnsi="仿宋" w:eastAsia="仿宋" w:cs="宋体"/>
          <w:b/>
          <w:sz w:val="28"/>
          <w:szCs w:val="28"/>
        </w:rPr>
      </w:pPr>
      <w:bookmarkStart w:id="45" w:name="_Toc1141"/>
      <w:bookmarkStart w:id="46" w:name="_Toc25270"/>
      <w:bookmarkStart w:id="47" w:name="_Toc14098"/>
      <w:r>
        <w:rPr>
          <w:rFonts w:hint="eastAsia" w:ascii="仿宋" w:hAnsi="仿宋" w:eastAsia="仿宋" w:cs="宋体"/>
          <w:b/>
          <w:sz w:val="28"/>
          <w:szCs w:val="28"/>
        </w:rPr>
        <w:t>（三）验收方式</w:t>
      </w:r>
      <w:bookmarkEnd w:id="45"/>
      <w:bookmarkEnd w:id="46"/>
      <w:bookmarkEnd w:id="47"/>
    </w:p>
    <w:p>
      <w:pPr>
        <w:widowControl/>
        <w:spacing w:line="440" w:lineRule="exact"/>
        <w:ind w:firstLine="140" w:firstLineChars="50"/>
        <w:jc w:val="left"/>
        <w:rPr>
          <w:rFonts w:hint="default" w:ascii="仿宋" w:hAnsi="仿宋" w:cs="宋体"/>
          <w:b w:val="0"/>
          <w:bCs w:val="0"/>
          <w:kern w:val="0"/>
          <w:sz w:val="28"/>
          <w:szCs w:val="28"/>
          <w:highlight w:val="none"/>
          <w:lang w:val="en-US" w:eastAsia="zh-CN"/>
        </w:rPr>
      </w:pPr>
      <w:r>
        <w:rPr>
          <w:rFonts w:hint="eastAsia" w:ascii="仿宋" w:hAnsi="仿宋" w:eastAsia="仿宋" w:cs="宋体"/>
          <w:kern w:val="0"/>
          <w:sz w:val="28"/>
          <w:szCs w:val="28"/>
        </w:rPr>
        <w:t>1、</w:t>
      </w:r>
      <w:r>
        <w:rPr>
          <w:rFonts w:hint="eastAsia" w:ascii="仿宋" w:hAnsi="仿宋" w:cs="宋体"/>
          <w:kern w:val="0"/>
          <w:sz w:val="28"/>
          <w:szCs w:val="28"/>
          <w:lang w:eastAsia="zh-CN"/>
        </w:rPr>
        <w:t>该项目为</w:t>
      </w:r>
      <w:r>
        <w:rPr>
          <w:rFonts w:hint="eastAsia" w:ascii="仿宋" w:hAnsi="仿宋" w:cs="宋体"/>
          <w:b w:val="0"/>
          <w:bCs w:val="0"/>
          <w:kern w:val="0"/>
          <w:sz w:val="28"/>
          <w:szCs w:val="28"/>
          <w:highlight w:val="none"/>
          <w:lang w:val="en-US" w:eastAsia="zh-CN"/>
        </w:rPr>
        <w:t>交钥匙工程，包含但不限于软件系统、硬件、办公设备、基建施工等，需满足采购人正常使用。</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b w:val="0"/>
          <w:bCs w:val="0"/>
          <w:kern w:val="0"/>
          <w:sz w:val="28"/>
          <w:szCs w:val="28"/>
          <w:highlight w:val="none"/>
        </w:rPr>
        <w:t>货物到达现场后，供应商应在使用</w:t>
      </w:r>
      <w:r>
        <w:rPr>
          <w:rFonts w:hint="eastAsia" w:ascii="仿宋" w:hAnsi="仿宋" w:eastAsia="仿宋" w:cs="宋体"/>
          <w:kern w:val="0"/>
          <w:sz w:val="28"/>
          <w:szCs w:val="28"/>
        </w:rPr>
        <w:t>单位人员在场情况下当面开箱，共同清点、检查外观，作出开箱记录，双方签字确认。</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2、供应商应保证货物到达采购人所在地完好无损，如有缺漏、损坏，由供应商负责调换、补齐或赔偿。</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3、供应商应提供完备的技术资料、装箱单和合格证等，并派遣专业技术人员进行现场安装调试。验收合格条件如下：</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（1）设备技术参数与招投标文件一致，性能指标达到规定的标准。</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（2）货物技术资料、装箱单、合格证等资料齐全并与投标时所提供的技术资料一致。</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（3）在系统试运行期间所出现的问题得到解决，并运行正常。</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（4）在规定时间内完成交货并验收，并经采购人确认。</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4、软件产品在安装调试并试运行符合要求后，才作为最终验收。</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5、供应商提供的货物未达到招标文件规定要求，且对采购人造成损失的，由供应商承担一切责任，并赔偿所造成的损失。</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6、采购人需要厂家对中标供应商交付的产品（包括质量、技术参数等）进行确认的，厂家应予以配合，并出具书面意见。</w:t>
      </w:r>
    </w:p>
    <w:p>
      <w:pPr>
        <w:adjustRightInd w:val="0"/>
        <w:snapToGrid w:val="0"/>
        <w:spacing w:line="440" w:lineRule="exact"/>
        <w:ind w:firstLine="140" w:firstLineChars="50"/>
        <w:rPr>
          <w:rFonts w:ascii="仿宋" w:hAnsi="仿宋" w:eastAsia="仿宋" w:cs="宋体"/>
          <w:kern w:val="0"/>
          <w:sz w:val="28"/>
          <w:szCs w:val="28"/>
          <w:highlight w:val="none"/>
        </w:rPr>
      </w:pPr>
      <w:r>
        <w:rPr>
          <w:rFonts w:hint="eastAsia" w:ascii="仿宋" w:hAnsi="仿宋" w:eastAsia="仿宋" w:cs="宋体"/>
          <w:kern w:val="0"/>
          <w:sz w:val="28"/>
          <w:szCs w:val="28"/>
          <w:highlight w:val="none"/>
        </w:rPr>
        <w:t>7、</w:t>
      </w:r>
      <w:r>
        <w:rPr>
          <w:rFonts w:hint="eastAsia" w:ascii="仿宋" w:hAnsi="仿宋" w:eastAsia="仿宋" w:cs="宋体"/>
          <w:kern w:val="0"/>
          <w:sz w:val="28"/>
          <w:szCs w:val="28"/>
          <w:lang w:val="en-US" w:eastAsia="zh-CN"/>
        </w:rPr>
        <w:t>按医院要求制作该设备的操作流程图</w:t>
      </w:r>
      <w:r>
        <w:rPr>
          <w:rFonts w:hint="eastAsia" w:ascii="仿宋" w:hAnsi="仿宋" w:eastAsia="仿宋" w:cs="宋体"/>
          <w:kern w:val="0"/>
          <w:sz w:val="28"/>
          <w:szCs w:val="28"/>
        </w:rPr>
        <w:t>。</w:t>
      </w:r>
    </w:p>
    <w:p>
      <w:pPr>
        <w:adjustRightInd w:val="0"/>
        <w:snapToGrid w:val="0"/>
        <w:spacing w:line="440" w:lineRule="exact"/>
        <w:ind w:firstLine="140" w:firstLineChars="5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8、虚假应标的中标方，我院会将其公司和中标产品拉入黑名单，并禁止其公司三年内不得在我院投标。</w:t>
      </w:r>
    </w:p>
    <w:p>
      <w:pPr>
        <w:adjustRightInd w:val="0"/>
        <w:snapToGrid w:val="0"/>
        <w:spacing w:line="440" w:lineRule="exact"/>
        <w:outlineLvl w:val="1"/>
        <w:rPr>
          <w:rFonts w:ascii="仿宋" w:hAnsi="仿宋" w:eastAsia="仿宋" w:cs="宋体"/>
          <w:b/>
          <w:sz w:val="28"/>
          <w:szCs w:val="28"/>
        </w:rPr>
      </w:pPr>
      <w:bookmarkStart w:id="48" w:name="_Toc146"/>
      <w:bookmarkStart w:id="49" w:name="_Toc18089"/>
      <w:bookmarkStart w:id="50" w:name="_Toc17729"/>
      <w:r>
        <w:rPr>
          <w:rFonts w:hint="eastAsia" w:ascii="仿宋" w:hAnsi="仿宋" w:eastAsia="仿宋" w:cs="宋体"/>
          <w:b/>
          <w:sz w:val="28"/>
          <w:szCs w:val="28"/>
        </w:rPr>
        <w:t>（四）报价要求</w:t>
      </w:r>
      <w:bookmarkEnd w:id="48"/>
      <w:bookmarkEnd w:id="49"/>
      <w:bookmarkEnd w:id="50"/>
    </w:p>
    <w:p>
      <w:pPr>
        <w:adjustRightInd w:val="0"/>
        <w:snapToGrid w:val="0"/>
        <w:spacing w:line="440" w:lineRule="exact"/>
        <w:ind w:firstLine="130" w:firstLineChars="50"/>
        <w:rPr>
          <w:rFonts w:ascii="仿宋" w:hAnsi="仿宋" w:eastAsia="仿宋" w:cs="宋体"/>
          <w:spacing w:val="-10"/>
          <w:sz w:val="28"/>
          <w:szCs w:val="28"/>
        </w:rPr>
      </w:pPr>
      <w:r>
        <w:rPr>
          <w:rFonts w:hint="eastAsia" w:ascii="仿宋" w:hAnsi="仿宋" w:eastAsia="仿宋" w:cs="宋体"/>
          <w:spacing w:val="-10"/>
          <w:sz w:val="28"/>
          <w:szCs w:val="28"/>
        </w:rPr>
        <w:t>1、投标价格：投标人投标价格不得高于采购限价，否则，该投标将被视为无效标。</w:t>
      </w:r>
    </w:p>
    <w:p>
      <w:pPr>
        <w:adjustRightInd w:val="0"/>
        <w:snapToGrid w:val="0"/>
        <w:spacing w:line="440" w:lineRule="exact"/>
        <w:ind w:firstLine="130" w:firstLineChars="50"/>
        <w:rPr>
          <w:rFonts w:ascii="仿宋" w:hAnsi="仿宋" w:eastAsia="仿宋" w:cs="宋体"/>
          <w:spacing w:val="-10"/>
          <w:sz w:val="28"/>
          <w:szCs w:val="28"/>
        </w:rPr>
      </w:pPr>
      <w:r>
        <w:rPr>
          <w:rFonts w:hint="eastAsia" w:ascii="仿宋" w:hAnsi="仿宋" w:eastAsia="仿宋" w:cs="宋体"/>
          <w:spacing w:val="-10"/>
          <w:sz w:val="28"/>
          <w:szCs w:val="28"/>
        </w:rPr>
        <w:t>2、本次报价为人民币报价，包含：货物费、运输费、检测费、上户费、人工费、售后服务、税金、利润及风险等一切费用。</w:t>
      </w:r>
    </w:p>
    <w:p>
      <w:pPr>
        <w:adjustRightInd w:val="0"/>
        <w:snapToGrid w:val="0"/>
        <w:spacing w:line="440" w:lineRule="exact"/>
        <w:outlineLvl w:val="1"/>
        <w:rPr>
          <w:rFonts w:ascii="仿宋" w:hAnsi="仿宋" w:eastAsia="仿宋" w:cs="宋体"/>
          <w:b/>
          <w:sz w:val="28"/>
          <w:szCs w:val="28"/>
        </w:rPr>
      </w:pPr>
      <w:bookmarkStart w:id="51" w:name="_Toc23381"/>
      <w:bookmarkStart w:id="52" w:name="_Toc3078"/>
      <w:bookmarkStart w:id="53" w:name="_Toc26322"/>
      <w:r>
        <w:rPr>
          <w:rFonts w:hint="eastAsia" w:ascii="仿宋" w:hAnsi="仿宋" w:eastAsia="仿宋" w:cs="宋体"/>
          <w:b/>
          <w:sz w:val="28"/>
          <w:szCs w:val="28"/>
        </w:rPr>
        <w:t>（五）付款方式</w:t>
      </w:r>
      <w:bookmarkEnd w:id="51"/>
      <w:bookmarkEnd w:id="52"/>
      <w:bookmarkEnd w:id="53"/>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sz w:val="28"/>
          <w:szCs w:val="28"/>
        </w:rPr>
        <w:t>项目安装调试完毕、验收合格</w:t>
      </w:r>
      <w:r>
        <w:rPr>
          <w:rFonts w:hint="eastAsia" w:ascii="仿宋" w:hAnsi="仿宋" w:eastAsia="仿宋" w:cs="宋体"/>
          <w:color w:val="auto"/>
          <w:sz w:val="28"/>
          <w:szCs w:val="28"/>
        </w:rPr>
        <w:t>后凭销售发票和验收报告</w:t>
      </w:r>
      <w:r>
        <w:rPr>
          <w:rFonts w:hint="eastAsia" w:ascii="仿宋" w:hAnsi="仿宋" w:cs="宋体"/>
          <w:color w:val="auto"/>
          <w:sz w:val="28"/>
          <w:szCs w:val="28"/>
          <w:lang w:eastAsia="zh-CN"/>
        </w:rPr>
        <w:t>一次性付清</w:t>
      </w:r>
      <w:r>
        <w:rPr>
          <w:rFonts w:hint="eastAsia" w:ascii="仿宋" w:hAnsi="仿宋" w:eastAsia="仿宋" w:cs="宋体"/>
          <w:color w:val="auto"/>
          <w:sz w:val="28"/>
          <w:szCs w:val="28"/>
        </w:rPr>
        <w:t>。</w:t>
      </w:r>
    </w:p>
    <w:p>
      <w:pPr>
        <w:adjustRightInd w:val="0"/>
        <w:snapToGrid w:val="0"/>
        <w:spacing w:line="440" w:lineRule="exact"/>
        <w:outlineLvl w:val="1"/>
        <w:rPr>
          <w:rFonts w:ascii="仿宋" w:hAnsi="仿宋" w:eastAsia="仿宋" w:cs="宋体"/>
          <w:b/>
          <w:color w:val="auto"/>
          <w:sz w:val="28"/>
          <w:szCs w:val="28"/>
        </w:rPr>
      </w:pPr>
      <w:bookmarkStart w:id="54" w:name="_Toc23741"/>
      <w:bookmarkStart w:id="55" w:name="_Toc14264"/>
      <w:bookmarkStart w:id="56" w:name="_Toc23917"/>
      <w:r>
        <w:rPr>
          <w:rFonts w:hint="eastAsia" w:ascii="仿宋" w:hAnsi="仿宋" w:eastAsia="仿宋" w:cs="宋体"/>
          <w:b/>
          <w:color w:val="auto"/>
          <w:sz w:val="28"/>
          <w:szCs w:val="28"/>
        </w:rPr>
        <w:t>（六）其他</w:t>
      </w:r>
      <w:bookmarkEnd w:id="54"/>
      <w:bookmarkEnd w:id="55"/>
      <w:bookmarkEnd w:id="56"/>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1、投标人必须在投标文件中对以上条款和服务作出承诺，承诺必须达到本篇及采购文件其他条款的要求。</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2、其他未尽事宜由供需双方在采购合同中详细约定。</w:t>
      </w:r>
    </w:p>
    <w:p>
      <w:pPr>
        <w:widowControl/>
        <w:jc w:val="left"/>
        <w:rPr>
          <w:rFonts w:ascii="仿宋" w:hAnsi="仿宋" w:eastAsia="仿宋" w:cs="宋体"/>
          <w:sz w:val="28"/>
          <w:szCs w:val="28"/>
        </w:rPr>
      </w:pPr>
      <w:r>
        <w:rPr>
          <w:rFonts w:ascii="仿宋" w:hAnsi="仿宋" w:eastAsia="仿宋" w:cs="宋体"/>
          <w:sz w:val="28"/>
          <w:szCs w:val="28"/>
        </w:rPr>
        <w:br w:type="page"/>
      </w:r>
    </w:p>
    <w:p>
      <w:pPr>
        <w:pStyle w:val="3"/>
      </w:pPr>
      <w:bookmarkStart w:id="57" w:name="_Toc32634"/>
      <w:bookmarkStart w:id="58" w:name="_Toc15290409"/>
      <w:r>
        <w:rPr>
          <w:rFonts w:hint="eastAsia"/>
        </w:rPr>
        <w:t>第三篇 评标方法、评标标准、无效投标条款和废标条款</w:t>
      </w:r>
      <w:bookmarkEnd w:id="57"/>
      <w:bookmarkEnd w:id="58"/>
    </w:p>
    <w:p>
      <w:pPr>
        <w:pStyle w:val="4"/>
        <w:bidi w:val="0"/>
        <w:outlineLvl w:val="0"/>
      </w:pPr>
      <w:bookmarkStart w:id="59" w:name="_Toc26784"/>
      <w:r>
        <w:rPr>
          <w:rFonts w:hint="eastAsia"/>
        </w:rPr>
        <w:t>一、评标方法定义</w:t>
      </w:r>
      <w:bookmarkEnd w:id="59"/>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pStyle w:val="4"/>
        <w:bidi w:val="0"/>
        <w:outlineLvl w:val="0"/>
      </w:pPr>
      <w:bookmarkStart w:id="60" w:name="_Toc9819"/>
      <w:r>
        <w:rPr>
          <w:rFonts w:hint="eastAsia"/>
        </w:rPr>
        <w:t>二、评标标准</w:t>
      </w:r>
      <w:bookmarkEnd w:id="60"/>
    </w:p>
    <w:p>
      <w:pPr>
        <w:adjustRightInd w:val="0"/>
        <w:snapToGrid w:val="0"/>
        <w:spacing w:line="440" w:lineRule="exact"/>
        <w:ind w:firstLine="562" w:firstLineChars="200"/>
        <w:outlineLvl w:val="1"/>
        <w:rPr>
          <w:rFonts w:ascii="仿宋" w:hAnsi="仿宋" w:eastAsia="仿宋" w:cs="宋体"/>
          <w:b/>
          <w:bCs/>
          <w:sz w:val="28"/>
          <w:szCs w:val="28"/>
        </w:rPr>
      </w:pPr>
      <w:bookmarkStart w:id="61" w:name="_Toc4692"/>
      <w:bookmarkStart w:id="62" w:name="_Toc25018"/>
      <w:bookmarkStart w:id="63" w:name="_Toc8948"/>
      <w:r>
        <w:rPr>
          <w:rFonts w:hint="eastAsia" w:ascii="仿宋" w:hAnsi="仿宋" w:eastAsia="仿宋" w:cs="宋体"/>
          <w:b/>
          <w:bCs/>
          <w:sz w:val="28"/>
          <w:szCs w:val="28"/>
        </w:rPr>
        <w:t>（一）投标报价的确认</w:t>
      </w:r>
      <w:bookmarkEnd w:id="61"/>
      <w:bookmarkEnd w:id="62"/>
      <w:bookmarkEnd w:id="63"/>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1、本项目投标人的投标报价，以各投标人投标文件中的《投标报价表》（格式详见第五篇）中的投标报价金额为准。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2、所投项目中超过本项目对应最高采购限价的投标报价为无效投标报价。</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3、若投标文件出现计算或表达上的错误，修正错误的原则如下：</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（1）投标文件的大写金额和小写金额不一致的，以大写金额为准；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（2）总价金额与按综合单价汇总金额不一致的，以综合单价金额计算结果为准；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（3）综合单价金额小数点有明显错位的，应以总价为准，并修正综合单价；</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（4）对不同文字文本投标文件的解释发生异议的，以中文文本为准。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adjustRightInd w:val="0"/>
        <w:snapToGrid w:val="0"/>
        <w:spacing w:line="440" w:lineRule="exact"/>
        <w:ind w:firstLine="562" w:firstLineChars="200"/>
        <w:outlineLvl w:val="1"/>
        <w:rPr>
          <w:rFonts w:ascii="仿宋" w:hAnsi="仿宋" w:eastAsia="仿宋" w:cs="宋体"/>
          <w:b/>
          <w:bCs/>
          <w:sz w:val="28"/>
          <w:szCs w:val="28"/>
        </w:rPr>
      </w:pPr>
      <w:bookmarkStart w:id="64" w:name="_Toc27866"/>
      <w:bookmarkStart w:id="65" w:name="_Toc29770"/>
      <w:bookmarkStart w:id="66" w:name="_Toc31534"/>
      <w:r>
        <w:rPr>
          <w:rFonts w:hint="eastAsia" w:ascii="仿宋" w:hAnsi="仿宋" w:eastAsia="仿宋" w:cs="宋体"/>
          <w:b/>
          <w:bCs/>
          <w:sz w:val="28"/>
          <w:szCs w:val="28"/>
        </w:rPr>
        <w:t>（二）评标办法</w:t>
      </w:r>
      <w:bookmarkEnd w:id="64"/>
      <w:bookmarkEnd w:id="65"/>
      <w:bookmarkEnd w:id="6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1、询价小组分别将经评审的有效投标报价从低到高进行排序，并以此顺序确定第一、二、三成交候选人。</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2、若有2个及以上的投标人有效投标报价相同时，则由采购人代表现场决定排名顺序。</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3、若第一成交人因故放弃或被取消成交资格的，可由第二成交候选人递补，并类推至第三成交候选人，也可重新招标。</w:t>
      </w:r>
    </w:p>
    <w:p>
      <w:pPr>
        <w:pStyle w:val="4"/>
        <w:bidi w:val="0"/>
        <w:outlineLvl w:val="0"/>
      </w:pPr>
      <w:bookmarkStart w:id="67" w:name="_Toc6183"/>
      <w:r>
        <w:rPr>
          <w:rFonts w:hint="eastAsia"/>
        </w:rPr>
        <w:t>三、无效投标条款</w:t>
      </w:r>
      <w:bookmarkEnd w:id="67"/>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属下列情况之一的，按照无效投标处理：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（一）投标人未按采购文件规定提交足额投标保证金的；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（二）投标人不具备招标文件规定的资格要求的；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（三）投标人超出营业范围投标的；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（五）法定代表人为同一个人的两个及两个以上法人，母公司、全资子公司及其控股公司，在同一货物采购中同时投标的；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（六）同一合同包的货物，制造商参与投标的，再委托代理商参与投标；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（七）投标文件未按照采购文件第五篇投标文件格式中所规定签字、盖章的；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（九）投标报价超出采购文件规定的投标限价的；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（十）投标产品不符合必须强制执行的国家标准的；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（十一）投标文件含有违反国家法律、法规的内容，或附有采购人不能接受的条件的。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（十二）未实质性响应或未完全满足采购文件规定的技术及商务要求的，以及符合采购文件规定的其它无效投标情况的。</w:t>
      </w:r>
    </w:p>
    <w:p>
      <w:pPr>
        <w:pStyle w:val="4"/>
        <w:bidi w:val="0"/>
        <w:outlineLvl w:val="0"/>
      </w:pPr>
      <w:bookmarkStart w:id="68" w:name="_Toc25359"/>
      <w:r>
        <w:rPr>
          <w:rFonts w:hint="eastAsia"/>
        </w:rPr>
        <w:t>四、废标条款</w:t>
      </w:r>
      <w:bookmarkEnd w:id="68"/>
    </w:p>
    <w:p>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spacing w:val="-10"/>
          <w:sz w:val="28"/>
          <w:szCs w:val="28"/>
        </w:rPr>
        <w:t>（一）符合专业条件或对采购文件作实质响应的投标人不足三家</w:t>
      </w:r>
      <w:r>
        <w:rPr>
          <w:rFonts w:hint="eastAsia" w:ascii="仿宋" w:hAnsi="仿宋" w:eastAsia="仿宋" w:cs="宋体"/>
          <w:b w:val="0"/>
          <w:bCs w:val="0"/>
          <w:spacing w:val="-10"/>
          <w:sz w:val="28"/>
          <w:szCs w:val="28"/>
        </w:rPr>
        <w:t>的</w:t>
      </w:r>
      <w:r>
        <w:rPr>
          <w:rFonts w:hint="eastAsia" w:ascii="仿宋" w:hAnsi="仿宋" w:cs="宋体"/>
          <w:b w:val="0"/>
          <w:bCs w:val="0"/>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（三）出现影响采购公正的违法、违规行为的。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（四）因重大变故，采购任务取消的。</w:t>
      </w:r>
    </w:p>
    <w:p>
      <w:pPr>
        <w:widowControl/>
        <w:jc w:val="left"/>
        <w:rPr>
          <w:rFonts w:ascii="仿宋" w:hAnsi="仿宋" w:eastAsia="仿宋" w:cs="宋体"/>
          <w:spacing w:val="-10"/>
          <w:sz w:val="28"/>
          <w:szCs w:val="28"/>
        </w:rPr>
      </w:pPr>
    </w:p>
    <w:p>
      <w:pPr>
        <w:pStyle w:val="3"/>
        <w:outlineLvl w:val="1"/>
      </w:pPr>
      <w:r>
        <w:br w:type="page"/>
      </w:r>
      <w:bookmarkStart w:id="69" w:name="_Toc25500"/>
      <w:bookmarkStart w:id="70" w:name="_Toc15290410"/>
      <w:r>
        <w:rPr>
          <w:rFonts w:hint="eastAsia"/>
        </w:rPr>
        <w:t>第四篇 投标人须知</w:t>
      </w:r>
      <w:bookmarkEnd w:id="69"/>
      <w:bookmarkEnd w:id="70"/>
    </w:p>
    <w:p>
      <w:pPr>
        <w:adjustRightInd w:val="0"/>
        <w:snapToGrid w:val="0"/>
        <w:spacing w:line="440" w:lineRule="exact"/>
        <w:ind w:firstLine="520" w:firstLineChars="200"/>
        <w:rPr>
          <w:rFonts w:ascii="仿宋" w:hAnsi="仿宋" w:eastAsia="仿宋" w:cs="宋体"/>
          <w:spacing w:val="-10"/>
          <w:sz w:val="28"/>
          <w:szCs w:val="28"/>
        </w:rPr>
      </w:pPr>
      <w:bookmarkStart w:id="71" w:name="_Toc267320061"/>
      <w:r>
        <w:rPr>
          <w:rFonts w:hint="eastAsia" w:ascii="仿宋" w:hAnsi="仿宋" w:eastAsia="仿宋" w:cs="宋体"/>
          <w:spacing w:val="-10"/>
          <w:sz w:val="28"/>
          <w:szCs w:val="28"/>
        </w:rPr>
        <w:t>投标人应仔细阅读本询价采购文件的全部条文，完全同意并自觉遵守本询价采购文件中的所有规定和要求。</w:t>
      </w:r>
    </w:p>
    <w:p>
      <w:pPr>
        <w:pStyle w:val="4"/>
        <w:bidi w:val="0"/>
        <w:outlineLvl w:val="0"/>
      </w:pPr>
      <w:bookmarkStart w:id="72" w:name="_Toc10005"/>
      <w:r>
        <w:rPr>
          <w:rFonts w:hint="eastAsia"/>
        </w:rPr>
        <w:t>一、投标费用</w:t>
      </w:r>
      <w:bookmarkEnd w:id="72"/>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无论投标结果如何，投标人参与本项目投标的所有费用均应由投标人自行承担。</w:t>
      </w:r>
    </w:p>
    <w:bookmarkEnd w:id="71"/>
    <w:p>
      <w:pPr>
        <w:pStyle w:val="4"/>
        <w:bidi w:val="0"/>
        <w:outlineLvl w:val="0"/>
      </w:pPr>
      <w:bookmarkStart w:id="73" w:name="_Toc4731"/>
      <w:r>
        <w:rPr>
          <w:rFonts w:hint="eastAsia"/>
        </w:rPr>
        <w:t>二、投标文件构成要件及顺序</w:t>
      </w:r>
      <w:bookmarkEnd w:id="73"/>
    </w:p>
    <w:p>
      <w:pPr>
        <w:adjustRightInd w:val="0"/>
        <w:snapToGrid w:val="0"/>
        <w:spacing w:line="440" w:lineRule="exact"/>
        <w:ind w:firstLine="562" w:firstLineChars="200"/>
        <w:outlineLvl w:val="1"/>
        <w:rPr>
          <w:rFonts w:ascii="仿宋" w:hAnsi="仿宋" w:eastAsia="仿宋" w:cs="宋体"/>
          <w:b/>
          <w:sz w:val="28"/>
          <w:szCs w:val="28"/>
        </w:rPr>
      </w:pPr>
      <w:bookmarkStart w:id="74" w:name="_Toc24390"/>
      <w:bookmarkStart w:id="75" w:name="_Toc4786"/>
      <w:bookmarkStart w:id="76" w:name="_Toc2124"/>
      <w:r>
        <w:rPr>
          <w:rFonts w:hint="eastAsia" w:ascii="仿宋" w:hAnsi="仿宋" w:eastAsia="仿宋" w:cs="宋体"/>
          <w:b/>
          <w:sz w:val="28"/>
          <w:szCs w:val="28"/>
        </w:rPr>
        <w:t>（一）商务技术标</w:t>
      </w:r>
      <w:bookmarkEnd w:id="74"/>
      <w:bookmarkEnd w:id="75"/>
      <w:bookmarkEnd w:id="76"/>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投标人具有有效的《营业执照》、《税务登记证》、《组织机构代码证》或</w:t>
      </w:r>
      <w:r>
        <w:rPr>
          <w:rFonts w:hint="eastAsia" w:ascii="仿宋" w:hAnsi="仿宋" w:cs="宋体"/>
          <w:spacing w:val="-10"/>
          <w:sz w:val="28"/>
          <w:szCs w:val="28"/>
          <w:lang w:eastAsia="zh-CN"/>
        </w:rPr>
        <w:t>多证</w:t>
      </w:r>
      <w:r>
        <w:rPr>
          <w:rFonts w:hint="eastAsia" w:ascii="仿宋" w:hAnsi="仿宋" w:eastAsia="仿宋" w:cs="宋体"/>
          <w:spacing w:val="-10"/>
          <w:sz w:val="28"/>
          <w:szCs w:val="28"/>
        </w:rPr>
        <w:t>合一的《营业执照》，本采购项目属于其生产或经营范围；</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法定代表人身份证明书（格式详见第五篇）；</w:t>
      </w:r>
    </w:p>
    <w:p>
      <w:pPr>
        <w:numPr>
          <w:ilvl w:val="0"/>
          <w:numId w:val="1"/>
        </w:numPr>
        <w:adjustRightInd w:val="0"/>
        <w:snapToGrid w:val="0"/>
        <w:spacing w:line="440" w:lineRule="exact"/>
        <w:rPr>
          <w:rFonts w:hint="eastAsia" w:ascii="宋体" w:hAnsi="宋体"/>
          <w:color w:val="auto"/>
          <w:szCs w:val="21"/>
        </w:rPr>
      </w:pPr>
      <w:r>
        <w:rPr>
          <w:rFonts w:hint="eastAsia" w:ascii="仿宋" w:hAnsi="仿宋" w:eastAsia="仿宋" w:cs="宋体"/>
          <w:spacing w:val="-10"/>
          <w:sz w:val="28"/>
          <w:szCs w:val="28"/>
        </w:rPr>
        <w:t>法定代表人授权委托书（格式详见第五篇）（若法定代表人亲自参加投标会的，则此项不提供）；</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商务要求应答承诺书（格式详见第五篇）；</w:t>
      </w:r>
    </w:p>
    <w:p>
      <w:pPr>
        <w:numPr>
          <w:ilvl w:val="0"/>
          <w:numId w:val="1"/>
        </w:numPr>
        <w:adjustRightInd w:val="0"/>
        <w:snapToGrid w:val="0"/>
        <w:spacing w:line="440" w:lineRule="exact"/>
      </w:pPr>
      <w:r>
        <w:rPr>
          <w:rFonts w:hint="eastAsia" w:ascii="仿宋" w:hAnsi="仿宋" w:eastAsia="仿宋" w:cs="宋体"/>
          <w:spacing w:val="-10"/>
          <w:sz w:val="28"/>
          <w:szCs w:val="28"/>
        </w:rPr>
        <w:t>技术要求响应/偏离表</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质保、售后服务承诺书（格式自制）；</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投标人基本情况简介等其它相关资料。</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产品彩页及产品相关资料</w:t>
      </w:r>
    </w:p>
    <w:p>
      <w:pPr>
        <w:adjustRightInd w:val="0"/>
        <w:snapToGrid w:val="0"/>
        <w:spacing w:line="440" w:lineRule="exact"/>
        <w:ind w:firstLine="562" w:firstLineChars="200"/>
        <w:rPr>
          <w:rFonts w:ascii="仿宋" w:hAnsi="仿宋" w:eastAsia="仿宋" w:cs="宋体"/>
          <w:b/>
          <w:sz w:val="28"/>
        </w:rPr>
      </w:pPr>
      <w:r>
        <w:rPr>
          <w:rFonts w:hint="eastAsia" w:ascii="仿宋" w:hAnsi="仿宋" w:eastAsia="仿宋" w:cs="宋体"/>
          <w:b/>
          <w:sz w:val="28"/>
          <w:szCs w:val="28"/>
        </w:rPr>
        <w:t>说明：</w:t>
      </w:r>
      <w:r>
        <w:rPr>
          <w:rFonts w:hint="eastAsia" w:ascii="仿宋" w:hAnsi="仿宋" w:eastAsia="仿宋" w:cs="宋体"/>
          <w:b/>
          <w:sz w:val="28"/>
        </w:rPr>
        <w:t>资质文件可为复印件，但必须清晰可辨且加盖单位鲜章，否则视为无效。</w:t>
      </w:r>
    </w:p>
    <w:p>
      <w:pPr>
        <w:adjustRightInd w:val="0"/>
        <w:snapToGrid w:val="0"/>
        <w:spacing w:line="440" w:lineRule="exact"/>
        <w:ind w:firstLine="562" w:firstLineChars="200"/>
        <w:outlineLvl w:val="1"/>
        <w:rPr>
          <w:rFonts w:ascii="仿宋" w:hAnsi="仿宋" w:eastAsia="仿宋" w:cs="宋体"/>
          <w:b/>
          <w:sz w:val="28"/>
          <w:szCs w:val="28"/>
        </w:rPr>
      </w:pPr>
      <w:bookmarkStart w:id="77" w:name="_Toc9928"/>
      <w:bookmarkStart w:id="78" w:name="_Toc31394"/>
      <w:bookmarkStart w:id="79" w:name="_Toc17747"/>
      <w:r>
        <w:rPr>
          <w:rFonts w:hint="eastAsia" w:ascii="仿宋" w:hAnsi="仿宋" w:eastAsia="仿宋" w:cs="宋体"/>
          <w:b/>
          <w:sz w:val="28"/>
          <w:szCs w:val="28"/>
        </w:rPr>
        <w:t>（二）经济标</w:t>
      </w:r>
      <w:bookmarkEnd w:id="77"/>
      <w:bookmarkEnd w:id="78"/>
      <w:bookmarkEnd w:id="79"/>
    </w:p>
    <w:p>
      <w:pPr>
        <w:adjustRightInd w:val="0"/>
        <w:snapToGrid w:val="0"/>
        <w:spacing w:line="44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1、《投标承诺函》（格式详见第五篇）</w:t>
      </w:r>
    </w:p>
    <w:p>
      <w:pPr>
        <w:adjustRightInd w:val="0"/>
        <w:snapToGrid w:val="0"/>
        <w:spacing w:line="44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2、《投标报价表》（格式详见第五篇）</w:t>
      </w:r>
    </w:p>
    <w:p>
      <w:pPr>
        <w:adjustRightInd w:val="0"/>
        <w:snapToGrid w:val="0"/>
        <w:spacing w:line="440" w:lineRule="exact"/>
        <w:ind w:firstLine="560" w:firstLineChars="20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3、《报价明细表》</w:t>
      </w:r>
      <w:r>
        <w:rPr>
          <w:rFonts w:hint="eastAsia" w:ascii="仿宋" w:hAnsi="仿宋" w:cs="宋体"/>
          <w:sz w:val="28"/>
          <w:szCs w:val="28"/>
          <w:lang w:val="en-US" w:eastAsia="zh-CN"/>
        </w:rPr>
        <w:t>（格式自拟，</w:t>
      </w:r>
      <w:r>
        <w:rPr>
          <w:rFonts w:hint="eastAsia" w:ascii="仿宋" w:hAnsi="仿宋" w:cs="宋体"/>
          <w:b/>
          <w:bCs/>
          <w:sz w:val="28"/>
          <w:szCs w:val="28"/>
          <w:lang w:val="en-US" w:eastAsia="zh-CN"/>
        </w:rPr>
        <w:t>设备和基装分开报</w:t>
      </w:r>
      <w:r>
        <w:rPr>
          <w:rFonts w:hint="eastAsia" w:ascii="仿宋" w:hAnsi="仿宋" w:cs="宋体"/>
          <w:sz w:val="28"/>
          <w:szCs w:val="28"/>
          <w:lang w:val="en-US" w:eastAsia="zh-CN"/>
        </w:rPr>
        <w:t>）</w:t>
      </w:r>
    </w:p>
    <w:p>
      <w:pPr>
        <w:pStyle w:val="4"/>
        <w:bidi w:val="0"/>
        <w:outlineLvl w:val="0"/>
      </w:pPr>
      <w:bookmarkStart w:id="80" w:name="_Toc22343"/>
      <w:r>
        <w:rPr>
          <w:rFonts w:hint="eastAsia"/>
        </w:rPr>
        <w:t>三、投标文件的制作</w:t>
      </w:r>
      <w:bookmarkEnd w:id="80"/>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（一）投标人应按投标文件“商务技术标”、“经济标”的构成内容和顺序分别编制投标文件，并制作文件目录，</w:t>
      </w:r>
      <w:r>
        <w:rPr>
          <w:rFonts w:hint="eastAsia" w:ascii="仿宋" w:hAnsi="仿宋" w:eastAsia="仿宋" w:cs="宋体"/>
          <w:b/>
          <w:spacing w:val="-10"/>
          <w:sz w:val="28"/>
          <w:szCs w:val="28"/>
        </w:rPr>
        <w:t>将“商务技术标”、“经济标”独立装订成册。</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（二）投标文件份数。</w:t>
      </w:r>
      <w:r>
        <w:rPr>
          <w:rFonts w:hint="eastAsia" w:ascii="仿宋" w:hAnsi="仿宋" w:eastAsia="仿宋" w:cs="宋体"/>
          <w:b/>
          <w:bCs/>
          <w:spacing w:val="-10"/>
          <w:sz w:val="28"/>
          <w:szCs w:val="28"/>
        </w:rPr>
        <w:t>“商务技术标”正本1份，副本</w:t>
      </w:r>
      <w:r>
        <w:rPr>
          <w:rFonts w:hint="eastAsia" w:ascii="仿宋" w:hAnsi="仿宋" w:cs="宋体"/>
          <w:b/>
          <w:bCs/>
          <w:spacing w:val="-10"/>
          <w:sz w:val="28"/>
          <w:szCs w:val="28"/>
          <w:lang w:val="en-US" w:eastAsia="zh-CN"/>
        </w:rPr>
        <w:t>3</w:t>
      </w:r>
      <w:r>
        <w:rPr>
          <w:rFonts w:hint="eastAsia" w:ascii="仿宋" w:hAnsi="仿宋" w:eastAsia="仿宋" w:cs="宋体"/>
          <w:b/>
          <w:bCs/>
          <w:spacing w:val="-10"/>
          <w:sz w:val="28"/>
          <w:szCs w:val="28"/>
        </w:rPr>
        <w:t>份，“经济标”正本1份，副本1份；</w:t>
      </w:r>
      <w:r>
        <w:rPr>
          <w:rFonts w:hint="eastAsia" w:ascii="仿宋" w:hAnsi="仿宋" w:eastAsia="仿宋" w:cs="宋体"/>
          <w:spacing w:val="-10"/>
          <w:sz w:val="28"/>
          <w:szCs w:val="28"/>
        </w:rPr>
        <w:t>正、副本内容应完全一致，副本可以是正本的复印件，并在各投标文件封面上标注“正本”或“副本”字样。</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（三）投标文件内容除资质、证书、合同、标题、签署、各种复印件外，其他内容原则上要求采用四号宋体、A4纸打印，并做到字迹清楚，密封完好。</w:t>
      </w:r>
    </w:p>
    <w:p>
      <w:pPr>
        <w:adjustRightInd w:val="0"/>
        <w:snapToGrid w:val="0"/>
        <w:spacing w:line="440" w:lineRule="exact"/>
        <w:ind w:firstLine="520" w:firstLineChars="200"/>
        <w:outlineLvl w:val="1"/>
        <w:rPr>
          <w:rFonts w:ascii="仿宋" w:hAnsi="仿宋" w:eastAsia="仿宋" w:cs="宋体"/>
          <w:spacing w:val="-10"/>
          <w:sz w:val="28"/>
          <w:szCs w:val="28"/>
        </w:rPr>
      </w:pPr>
      <w:bookmarkStart w:id="81" w:name="_Toc781"/>
      <w:bookmarkStart w:id="82" w:name="_Toc25772"/>
      <w:bookmarkStart w:id="83" w:name="_Toc22872"/>
      <w:r>
        <w:rPr>
          <w:rFonts w:hint="eastAsia" w:ascii="仿宋" w:hAnsi="仿宋" w:eastAsia="仿宋" w:cs="宋体"/>
          <w:spacing w:val="-10"/>
          <w:sz w:val="28"/>
          <w:szCs w:val="28"/>
        </w:rPr>
        <w:t>（四）本采购文件中规定了投标文件格式的部分，投标人必须采用。</w:t>
      </w:r>
      <w:bookmarkEnd w:id="81"/>
      <w:bookmarkEnd w:id="82"/>
      <w:bookmarkEnd w:id="8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（五）法定代表人或其授权代理人应按要求在投标文件相应位置签署、盖章或加盖单位公章。</w:t>
      </w:r>
      <w:r>
        <w:rPr>
          <w:rFonts w:hint="eastAsia" w:ascii="仿宋" w:hAnsi="仿宋" w:eastAsia="仿宋" w:cs="宋体"/>
          <w:b/>
          <w:spacing w:val="-10"/>
          <w:sz w:val="28"/>
          <w:szCs w:val="28"/>
        </w:rPr>
        <w:t>正本每页均需加盖鲜章。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（六）投标文件内容表达不清、或未按要求填写、或可能导致非唯一理解等，由此引起的后果均由投标人自行负责。</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（八）投标人未按要求装订、密封、标记投标文件，造成投标文件误投和提前启封，形成无效投标的，由投标人自行负责。</w:t>
      </w:r>
    </w:p>
    <w:p>
      <w:pPr>
        <w:pStyle w:val="4"/>
        <w:bidi w:val="0"/>
        <w:outlineLvl w:val="0"/>
      </w:pPr>
      <w:bookmarkStart w:id="84" w:name="_Toc24218"/>
      <w:r>
        <w:rPr>
          <w:rFonts w:hint="eastAsia"/>
        </w:rPr>
        <w:t>四、投标文件的递交和处置</w:t>
      </w:r>
      <w:bookmarkEnd w:id="84"/>
    </w:p>
    <w:p>
      <w:pPr>
        <w:adjustRightInd w:val="0"/>
        <w:snapToGrid w:val="0"/>
        <w:spacing w:line="440" w:lineRule="exact"/>
        <w:ind w:firstLine="520" w:firstLineChars="200"/>
        <w:outlineLvl w:val="1"/>
        <w:rPr>
          <w:rFonts w:ascii="仿宋" w:hAnsi="仿宋" w:eastAsia="仿宋" w:cs="宋体"/>
          <w:spacing w:val="-10"/>
          <w:sz w:val="28"/>
          <w:szCs w:val="28"/>
        </w:rPr>
      </w:pPr>
      <w:bookmarkStart w:id="85" w:name="_Toc5674"/>
      <w:bookmarkStart w:id="86" w:name="_Toc29219"/>
      <w:bookmarkStart w:id="87" w:name="_Toc527"/>
      <w:r>
        <w:rPr>
          <w:rFonts w:hint="eastAsia" w:ascii="仿宋" w:hAnsi="仿宋" w:eastAsia="仿宋" w:cs="宋体"/>
          <w:spacing w:val="-10"/>
          <w:sz w:val="28"/>
          <w:szCs w:val="28"/>
        </w:rPr>
        <w:t>（一）投标人参加询价会议时必须提交以下资料：</w:t>
      </w:r>
      <w:bookmarkEnd w:id="85"/>
      <w:bookmarkEnd w:id="86"/>
      <w:bookmarkEnd w:id="87"/>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1、投标人按要求编制且密封完好的投标文件（商务技术标、经济标）；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w:t>
      </w:r>
      <w:r>
        <w:rPr>
          <w:rFonts w:hint="eastAsia" w:ascii="仿宋" w:hAnsi="仿宋" w:eastAsia="仿宋" w:cs="宋体"/>
          <w:b/>
          <w:spacing w:val="-10"/>
          <w:sz w:val="28"/>
          <w:szCs w:val="28"/>
        </w:rPr>
        <w:t>投标活动参与人（法定代表人或代理人）身份证原件（供现场备查）；</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（二）凡符合本询价采购文件资质要求的投标人，应按要求编制好投标文件，并在规定的有效时间内递交到采购人接收处。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（三）采购人收到的投标文件不予退还，作为采购档案资料存档备查。</w:t>
      </w:r>
    </w:p>
    <w:p>
      <w:pPr>
        <w:pStyle w:val="4"/>
        <w:bidi w:val="0"/>
        <w:outlineLvl w:val="0"/>
      </w:pPr>
      <w:bookmarkStart w:id="88" w:name="_Toc15500"/>
      <w:r>
        <w:rPr>
          <w:rFonts w:hint="eastAsia"/>
        </w:rPr>
        <w:t>五、投标保证金的交纳与处置</w:t>
      </w:r>
      <w:bookmarkEnd w:id="88"/>
    </w:p>
    <w:p>
      <w:pPr>
        <w:pStyle w:val="4"/>
        <w:bidi w:val="0"/>
        <w:ind w:firstLine="520" w:firstLineChars="200"/>
        <w:rPr>
          <w:rFonts w:hint="eastAsia" w:ascii="仿宋" w:hAnsi="仿宋" w:eastAsia="仿宋" w:cs="宋体"/>
          <w:b w:val="0"/>
          <w:bCs w:val="0"/>
          <w:spacing w:val="-10"/>
          <w:kern w:val="2"/>
          <w:sz w:val="28"/>
          <w:szCs w:val="28"/>
          <w:lang w:val="en-US" w:eastAsia="zh-CN" w:bidi="ar-SA"/>
        </w:rPr>
      </w:pPr>
      <w:bookmarkStart w:id="89" w:name="_Toc2269"/>
      <w:bookmarkStart w:id="90" w:name="_Toc1111"/>
      <w:bookmarkStart w:id="91" w:name="_Toc16758"/>
      <w:r>
        <w:rPr>
          <w:rFonts w:hint="eastAsia" w:ascii="仿宋" w:hAnsi="仿宋" w:eastAsia="仿宋" w:cs="宋体"/>
          <w:b w:val="0"/>
          <w:bCs w:val="0"/>
          <w:spacing w:val="-10"/>
          <w:kern w:val="2"/>
          <w:sz w:val="28"/>
          <w:szCs w:val="28"/>
          <w:lang w:val="en-US" w:eastAsia="zh-CN" w:bidi="ar-SA"/>
        </w:rPr>
        <w:t>无需缴纳。</w:t>
      </w:r>
      <w:bookmarkEnd w:id="89"/>
      <w:bookmarkEnd w:id="90"/>
      <w:bookmarkEnd w:id="91"/>
    </w:p>
    <w:p>
      <w:pPr>
        <w:pStyle w:val="4"/>
        <w:bidi w:val="0"/>
        <w:outlineLvl w:val="0"/>
      </w:pPr>
      <w:bookmarkStart w:id="92" w:name="_Toc27829"/>
      <w:r>
        <w:rPr>
          <w:rFonts w:hint="eastAsia"/>
        </w:rPr>
        <w:t>六、履约保证金</w:t>
      </w:r>
      <w:bookmarkEnd w:id="92"/>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（一）履约保证金数额：成交价的10%；由项目成交人在与采购人签订合同前，向采购人提交。</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（二）若成交人不能按时、足额向采购人提交履约保证金的，视其为自动放弃成交资格，并将按采购法规及本采购文件相关规定进行处理。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w:t>
      </w:r>
      <w:r>
        <w:rPr>
          <w:rFonts w:hint="eastAsia" w:ascii="仿宋" w:hAnsi="仿宋" w:eastAsia="仿宋" w:cs="宋体"/>
          <w:b/>
          <w:bCs/>
          <w:spacing w:val="-10"/>
          <w:sz w:val="28"/>
          <w:szCs w:val="28"/>
        </w:rPr>
        <w:t>履约保证金的退还</w:t>
      </w:r>
      <w:r>
        <w:rPr>
          <w:rFonts w:hint="eastAsia" w:ascii="仿宋" w:hAnsi="仿宋" w:eastAsia="仿宋" w:cs="宋体"/>
          <w:spacing w:val="-10"/>
          <w:sz w:val="28"/>
          <w:szCs w:val="28"/>
        </w:rPr>
        <w:t>。</w:t>
      </w:r>
      <w:r>
        <w:rPr>
          <w:rFonts w:hint="eastAsia" w:ascii="仿宋" w:hAnsi="仿宋" w:cs="宋体"/>
          <w:spacing w:val="-10"/>
          <w:sz w:val="28"/>
          <w:szCs w:val="28"/>
          <w:lang w:eastAsia="zh-CN"/>
        </w:rPr>
        <w:t>质保期结束，且无质量问题，采购人在</w:t>
      </w:r>
      <w:r>
        <w:rPr>
          <w:rFonts w:hint="eastAsia" w:ascii="仿宋" w:hAnsi="仿宋" w:eastAsia="仿宋" w:cs="宋体"/>
          <w:spacing w:val="-10"/>
          <w:sz w:val="28"/>
          <w:szCs w:val="28"/>
        </w:rPr>
        <w:t>30个工作日内全额无息退还。</w:t>
      </w:r>
    </w:p>
    <w:p>
      <w:pPr>
        <w:pStyle w:val="4"/>
        <w:bidi w:val="0"/>
        <w:outlineLvl w:val="0"/>
      </w:pPr>
      <w:bookmarkStart w:id="93" w:name="_Toc18870"/>
      <w:r>
        <w:rPr>
          <w:rFonts w:hint="eastAsia"/>
        </w:rPr>
        <w:t>七、询价开标程序</w:t>
      </w:r>
      <w:bookmarkEnd w:id="93"/>
    </w:p>
    <w:p>
      <w:pPr>
        <w:adjustRightInd w:val="0"/>
        <w:snapToGrid w:val="0"/>
        <w:spacing w:line="440" w:lineRule="exact"/>
        <w:ind w:firstLine="520" w:firstLineChars="200"/>
        <w:outlineLvl w:val="1"/>
        <w:rPr>
          <w:rFonts w:ascii="仿宋" w:hAnsi="仿宋" w:eastAsia="仿宋" w:cs="宋体"/>
          <w:spacing w:val="-10"/>
          <w:sz w:val="28"/>
          <w:szCs w:val="28"/>
        </w:rPr>
      </w:pPr>
      <w:bookmarkStart w:id="94" w:name="_Toc26647"/>
      <w:bookmarkStart w:id="95" w:name="_Toc27100"/>
      <w:bookmarkStart w:id="96" w:name="_Toc12392"/>
      <w:r>
        <w:rPr>
          <w:rFonts w:hint="eastAsia" w:ascii="仿宋" w:hAnsi="仿宋" w:eastAsia="仿宋" w:cs="宋体"/>
          <w:spacing w:val="-10"/>
          <w:sz w:val="28"/>
          <w:szCs w:val="28"/>
        </w:rPr>
        <w:t>（一）依法成立项目询价小组。</w:t>
      </w:r>
      <w:bookmarkEnd w:id="94"/>
      <w:bookmarkEnd w:id="95"/>
      <w:bookmarkEnd w:id="9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（二）召开询价小组成员会议。确定询价小组组长，介绍项目前期准备情况，学习询价采购文件内容，掌握理解涉及本次采购项目的具体事项等。</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（三）由会议主持人清点投标单位、介绍询价小组成员及组长、现场监督人员。</w:t>
      </w:r>
    </w:p>
    <w:p>
      <w:pPr>
        <w:adjustRightInd w:val="0"/>
        <w:snapToGrid w:val="0"/>
        <w:spacing w:line="440" w:lineRule="exact"/>
        <w:ind w:firstLine="520" w:firstLineChars="200"/>
        <w:outlineLvl w:val="1"/>
        <w:rPr>
          <w:rFonts w:ascii="仿宋" w:hAnsi="仿宋" w:eastAsia="仿宋" w:cs="宋体"/>
          <w:spacing w:val="-10"/>
          <w:sz w:val="28"/>
          <w:szCs w:val="28"/>
        </w:rPr>
      </w:pPr>
      <w:bookmarkStart w:id="97" w:name="_Toc27946"/>
      <w:bookmarkStart w:id="98" w:name="_Toc12532"/>
      <w:bookmarkStart w:id="99" w:name="_Toc30045"/>
      <w:r>
        <w:rPr>
          <w:rFonts w:hint="eastAsia" w:ascii="仿宋" w:hAnsi="仿宋" w:eastAsia="仿宋" w:cs="宋体"/>
          <w:spacing w:val="-10"/>
          <w:sz w:val="28"/>
          <w:szCs w:val="28"/>
        </w:rPr>
        <w:t>（四）由询价会现场监督人员宣读开、评标纪律。</w:t>
      </w:r>
      <w:bookmarkEnd w:id="97"/>
      <w:bookmarkEnd w:id="98"/>
      <w:bookmarkEnd w:id="99"/>
    </w:p>
    <w:p>
      <w:pPr>
        <w:adjustRightInd w:val="0"/>
        <w:snapToGrid w:val="0"/>
        <w:spacing w:line="440" w:lineRule="exact"/>
        <w:ind w:firstLine="560" w:firstLineChars="200"/>
        <w:rPr>
          <w:rFonts w:ascii="仿宋" w:hAnsi="仿宋" w:eastAsia="仿宋" w:cs="宋体"/>
          <w:spacing w:val="-10"/>
          <w:sz w:val="28"/>
          <w:szCs w:val="28"/>
        </w:rPr>
      </w:pPr>
      <w:r>
        <w:rPr>
          <w:rFonts w:hint="eastAsia" w:ascii="仿宋" w:hAnsi="仿宋" w:eastAsia="仿宋" w:cs="宋体"/>
          <w:bCs/>
          <w:sz w:val="28"/>
          <w:szCs w:val="28"/>
        </w:rPr>
        <w:t>（五）开启投标人编制的“商务技术标”文件袋，由询价小组对投标人提交的全部投标资料进行全面审查。</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(六)开启投标人编制的“经济标”文件袋，由工作人员当众宣读投标人《投标报价表》中的投标报价，并按照本询价采购文件规定的定标办法确定成交候选人排序。</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(七)由询价小组、现场监督人员对询价采购结果进行签字确认。</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（八）询价小组当场宣布本项目询价采购成交候选结果。</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（九）由本项目询价会主持人宣布询价会议结束。</w:t>
      </w:r>
    </w:p>
    <w:p>
      <w:pPr>
        <w:pStyle w:val="4"/>
        <w:bidi w:val="0"/>
        <w:outlineLvl w:val="0"/>
      </w:pPr>
      <w:bookmarkStart w:id="100" w:name="_Toc9420"/>
      <w:r>
        <w:rPr>
          <w:rFonts w:hint="eastAsia"/>
        </w:rPr>
        <w:t>八、采购结果公示</w:t>
      </w:r>
      <w:bookmarkEnd w:id="100"/>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（一）采购结果公示期为1个工作日，从第一成交候选人确定次日起计算。</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（二）公示期满无异议，由采购人向第一成交候选人制发《成交通知书》。</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（三）若公示期内收到书面质疑，采购人将按政府采购相关规定办理。</w:t>
      </w:r>
    </w:p>
    <w:p>
      <w:pPr>
        <w:pStyle w:val="4"/>
        <w:bidi w:val="0"/>
        <w:outlineLvl w:val="0"/>
      </w:pPr>
      <w:bookmarkStart w:id="101" w:name="_Toc8009"/>
      <w:r>
        <w:rPr>
          <w:rFonts w:hint="eastAsia"/>
        </w:rPr>
        <w:t>九、合同签订及备案</w:t>
      </w:r>
      <w:bookmarkEnd w:id="101"/>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（二）违约责任：如成交人违约，则成交人的履约保证金自动转为违约金；其他未明确事宜，由合同双方在合同中具体协商约定。</w:t>
      </w:r>
    </w:p>
    <w:p>
      <w:pPr>
        <w:adjustRightInd w:val="0"/>
        <w:snapToGrid w:val="0"/>
        <w:spacing w:line="440" w:lineRule="exact"/>
        <w:ind w:firstLine="520" w:firstLineChars="200"/>
        <w:outlineLvl w:val="1"/>
        <w:rPr>
          <w:rFonts w:ascii="仿宋" w:hAnsi="仿宋" w:eastAsia="仿宋" w:cs="宋体"/>
          <w:spacing w:val="-10"/>
          <w:sz w:val="28"/>
          <w:szCs w:val="28"/>
        </w:rPr>
      </w:pPr>
      <w:bookmarkStart w:id="102" w:name="_Toc9369"/>
      <w:bookmarkStart w:id="103" w:name="_Toc6660"/>
      <w:bookmarkStart w:id="104" w:name="_Toc19047"/>
      <w:r>
        <w:rPr>
          <w:rFonts w:hint="eastAsia" w:ascii="仿宋" w:hAnsi="仿宋" w:eastAsia="仿宋" w:cs="宋体"/>
          <w:spacing w:val="-10"/>
          <w:sz w:val="28"/>
          <w:szCs w:val="28"/>
        </w:rPr>
        <w:t>（三）合同至少一式四份：采购人三份、成交人一份。</w:t>
      </w:r>
      <w:bookmarkEnd w:id="102"/>
      <w:bookmarkEnd w:id="103"/>
      <w:bookmarkEnd w:id="104"/>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p>
      <w:pPr>
        <w:adjustRightInd w:val="0"/>
        <w:snapToGrid w:val="0"/>
        <w:spacing w:line="440" w:lineRule="exact"/>
        <w:ind w:firstLine="520" w:firstLineChars="200"/>
        <w:rPr>
          <w:rFonts w:ascii="仿宋" w:hAnsi="仿宋" w:eastAsia="仿宋" w:cs="宋体"/>
          <w:spacing w:val="-10"/>
          <w:sz w:val="28"/>
          <w:szCs w:val="28"/>
        </w:rPr>
      </w:pPr>
    </w:p>
    <w:p>
      <w:pPr>
        <w:pStyle w:val="3"/>
        <w:rPr>
          <w:rFonts w:cs="华文中宋"/>
          <w:sz w:val="52"/>
          <w:szCs w:val="52"/>
        </w:rPr>
      </w:pPr>
      <w:bookmarkStart w:id="105" w:name="_Toc15290411"/>
      <w:bookmarkStart w:id="106" w:name="_Toc6779"/>
      <w:r>
        <w:rPr>
          <w:rFonts w:hint="eastAsia"/>
        </w:rPr>
        <w:t>第五篇 投标文件部分内容格式及附件</w:t>
      </w:r>
      <w:bookmarkEnd w:id="105"/>
      <w:bookmarkEnd w:id="106"/>
    </w:p>
    <w:p>
      <w:pPr>
        <w:spacing w:line="480" w:lineRule="auto"/>
        <w:jc w:val="center"/>
        <w:rPr>
          <w:rFonts w:ascii="仿宋" w:hAnsi="仿宋" w:eastAsia="仿宋"/>
          <w:b/>
          <w:kern w:val="44"/>
          <w:sz w:val="52"/>
          <w:szCs w:val="52"/>
        </w:rPr>
      </w:pPr>
    </w:p>
    <w:p>
      <w:pPr>
        <w:rPr>
          <w:rFonts w:ascii="仿宋" w:hAnsi="仿宋" w:eastAsia="仿宋"/>
          <w:b/>
          <w:kern w:val="44"/>
          <w:sz w:val="52"/>
          <w:szCs w:val="52"/>
        </w:rPr>
      </w:pPr>
      <w:r>
        <w:rPr>
          <w:rFonts w:ascii="仿宋" w:hAnsi="仿宋" w:eastAsia="仿宋"/>
          <w:b/>
          <w:kern w:val="44"/>
          <w:sz w:val="52"/>
          <w:szCs w:val="52"/>
        </w:rPr>
        <w:br w:type="page"/>
      </w:r>
    </w:p>
    <w:p>
      <w:pPr>
        <w:ind w:firstLine="4680" w:firstLineChars="1300"/>
        <w:rPr>
          <w:sz w:val="36"/>
          <w:szCs w:val="36"/>
        </w:rPr>
      </w:pPr>
      <w:bookmarkStart w:id="107" w:name="_Toc31009_WPSOffice_Level1"/>
      <w:bookmarkStart w:id="108" w:name="_Toc3441_WPSOffice_Level1"/>
      <w:bookmarkStart w:id="109" w:name="_Toc10658_WPSOffice_Level1"/>
      <w:bookmarkStart w:id="110" w:name="_Toc8184_WPSOffice_Level1"/>
      <w:bookmarkStart w:id="111" w:name="_Toc2787_WPSOffice_Level1"/>
      <w:bookmarkStart w:id="112" w:name="_Toc9226_WPSOffice_Level1"/>
      <w:bookmarkStart w:id="113" w:name="_Toc10905_WPSOffice_Level1"/>
      <w:bookmarkStart w:id="114" w:name="_Toc27695_WPSOffice_Level1"/>
      <w:bookmarkStart w:id="115" w:name="_Toc29167_WPSOffice_Level1"/>
      <w:bookmarkStart w:id="116" w:name="_Toc21936_WPSOffice_Level1"/>
      <w:bookmarkStart w:id="117" w:name="_Toc22874_WPSOffice_Level1"/>
      <w:bookmarkStart w:id="118" w:name="_Toc21738_WPSOffice_Level1"/>
      <w:bookmarkStart w:id="119" w:name="_Toc919_WPSOffice_Level1"/>
      <w:r>
        <w:rPr>
          <w:rFonts w:hint="eastAsia"/>
          <w:sz w:val="36"/>
          <w:szCs w:val="36"/>
        </w:rPr>
        <w:t>报名表</w:t>
      </w:r>
      <w:bookmarkEnd w:id="107"/>
      <w:bookmarkEnd w:id="108"/>
      <w:bookmarkEnd w:id="109"/>
      <w:bookmarkEnd w:id="110"/>
      <w:bookmarkEnd w:id="111"/>
      <w:bookmarkEnd w:id="112"/>
      <w:bookmarkEnd w:id="113"/>
      <w:bookmarkEnd w:id="114"/>
      <w:bookmarkEnd w:id="115"/>
      <w:bookmarkEnd w:id="116"/>
      <w:bookmarkEnd w:id="117"/>
      <w:bookmarkEnd w:id="118"/>
      <w:bookmarkEnd w:id="119"/>
    </w:p>
    <w:p>
      <w:pPr>
        <w:bidi w:val="0"/>
      </w:pPr>
      <w:r>
        <w:rPr>
          <w:rFonts w:hint="eastAsia"/>
        </w:rPr>
        <w:t>投标单位（公章）:                              时间：    年  月   日</w:t>
      </w:r>
    </w:p>
    <w:tbl>
      <w:tblPr>
        <w:tblStyle w:val="1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投标项目名称</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投标项目编号</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单位地址</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联系人姓名</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联系人电话</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bl>
    <w:p>
      <w:pPr>
        <w:bidi w:val="0"/>
      </w:pPr>
    </w:p>
    <w:p>
      <w:r>
        <w:br w:type="page"/>
      </w:r>
    </w:p>
    <w:p>
      <w:pPr>
        <w:jc w:val="center"/>
        <w:rPr>
          <w:sz w:val="36"/>
          <w:szCs w:val="36"/>
        </w:rPr>
      </w:pPr>
      <w:bookmarkStart w:id="120" w:name="_Toc8090_WPSOffice_Level2"/>
      <w:bookmarkStart w:id="121" w:name="_Toc21162_WPSOffice_Level2"/>
      <w:bookmarkStart w:id="122" w:name="_Toc15794_WPSOffice_Level2"/>
      <w:bookmarkStart w:id="123" w:name="_Toc30837_WPSOffice_Level2"/>
      <w:bookmarkStart w:id="124" w:name="_Toc14552_WPSOffice_Level1"/>
      <w:bookmarkStart w:id="125" w:name="_Toc25504_WPSOffice_Level1"/>
      <w:bookmarkStart w:id="126" w:name="_Toc29153_WPSOffice_Level2"/>
      <w:bookmarkStart w:id="127" w:name="_Toc31128_WPSOffice_Level2"/>
      <w:bookmarkStart w:id="128" w:name="_Toc24260_WPSOffice_Level2"/>
      <w:bookmarkStart w:id="129" w:name="_Toc28093_WPSOffice_Level1"/>
      <w:bookmarkStart w:id="130" w:name="_Toc1908_WPSOffice_Level2"/>
      <w:bookmarkStart w:id="131" w:name="_Toc18966_WPSOffice_Level2"/>
      <w:bookmarkStart w:id="132" w:name="_Toc13767_WPSOffice_Level2"/>
      <w:r>
        <w:rPr>
          <w:rFonts w:hint="eastAsia"/>
          <w:sz w:val="36"/>
          <w:szCs w:val="36"/>
        </w:rPr>
        <w:t>投标承诺函</w:t>
      </w:r>
      <w:bookmarkEnd w:id="120"/>
      <w:bookmarkEnd w:id="121"/>
      <w:bookmarkEnd w:id="122"/>
      <w:bookmarkEnd w:id="123"/>
      <w:bookmarkEnd w:id="124"/>
      <w:bookmarkEnd w:id="125"/>
      <w:bookmarkEnd w:id="126"/>
      <w:bookmarkEnd w:id="127"/>
      <w:bookmarkEnd w:id="128"/>
      <w:bookmarkEnd w:id="129"/>
      <w:bookmarkEnd w:id="130"/>
      <w:bookmarkEnd w:id="131"/>
      <w:bookmarkEnd w:id="132"/>
    </w:p>
    <w:p>
      <w:pPr>
        <w:bidi w:val="0"/>
      </w:pPr>
      <w:r>
        <w:rPr>
          <w:rFonts w:hint="eastAsia"/>
        </w:rPr>
        <w:t>重庆市铜梁区人民医院:</w:t>
      </w:r>
    </w:p>
    <w:p>
      <w:pPr>
        <w:bidi w:val="0"/>
        <w:ind w:firstLine="560" w:firstLineChars="200"/>
      </w:pPr>
      <w:r>
        <w:rPr>
          <w:rFonts w:hint="eastAsia"/>
        </w:rPr>
        <w:t>我方收到贵方制发的《</w:t>
      </w:r>
      <w:r>
        <w:rPr>
          <w:rFonts w:hint="eastAsia"/>
          <w:lang w:eastAsia="zh-CN"/>
        </w:rPr>
        <w:t>PBL教室</w:t>
      </w:r>
      <w:r>
        <w:rPr>
          <w:rFonts w:hint="eastAsia"/>
        </w:rPr>
        <w:t>》【</w:t>
      </w:r>
      <w:r>
        <w:rPr>
          <w:rFonts w:hint="eastAsia"/>
          <w:lang w:eastAsia="zh-CN"/>
        </w:rPr>
        <w:t>TYC（询）2024-006</w:t>
      </w:r>
      <w:r>
        <w:rPr>
          <w:rFonts w:hint="eastAsia"/>
        </w:rPr>
        <w:t>】询价采购文件，经研究，决定自愿参加该项目的报价活动，并承诺同意和自觉遵守询价采购文件中的各项条款。</w:t>
      </w:r>
    </w:p>
    <w:p>
      <w:pPr>
        <w:bidi w:val="0"/>
        <w:ind w:firstLine="560" w:firstLineChars="200"/>
      </w:pPr>
      <w:r>
        <w:rPr>
          <w:rFonts w:hint="eastAsia"/>
        </w:rPr>
        <w:t>1、我方根据询价采购文件的各项内容要求，对询价项目的投标报价以我方填制的《投标报价表》中的投标报价金额为准。</w:t>
      </w:r>
    </w:p>
    <w:p>
      <w:pPr>
        <w:bidi w:val="0"/>
        <w:ind w:firstLine="560" w:firstLineChars="200"/>
      </w:pPr>
      <w:r>
        <w:rPr>
          <w:rFonts w:hint="eastAsia"/>
        </w:rPr>
        <w:t>2、我方完全同意询价文件中规定的评标办法；并按询价文件的规定缴纳投标保证金；并愿意自行承担我方在参与投标报价活动中所产生的一切费用。</w:t>
      </w:r>
    </w:p>
    <w:p>
      <w:pPr>
        <w:bidi w:val="0"/>
        <w:ind w:firstLine="560" w:firstLineChars="200"/>
      </w:pPr>
      <w:r>
        <w:rPr>
          <w:rFonts w:hint="eastAsia"/>
        </w:rPr>
        <w:t>3、我方提交的所有投标文件、资料都是准确和真实的，如有虚假或隐瞒，我方愿意承担一切责任。</w:t>
      </w:r>
    </w:p>
    <w:p>
      <w:pPr>
        <w:bidi w:val="0"/>
        <w:ind w:firstLine="560" w:firstLineChars="200"/>
      </w:pPr>
      <w:r>
        <w:rPr>
          <w:rFonts w:hint="eastAsia"/>
        </w:rPr>
        <w:t>4、我方承诺完全响应本项目采购文件中的各项规定要求，如存在未响应或虚假响应，我方愿意承担一切责任。</w:t>
      </w:r>
    </w:p>
    <w:p>
      <w:pPr>
        <w:bidi w:val="0"/>
        <w:ind w:firstLine="560" w:firstLineChars="200"/>
      </w:pPr>
      <w:r>
        <w:rPr>
          <w:rFonts w:hint="eastAsia"/>
        </w:rPr>
        <w:t>5、如果我方成交，我方承诺严格执行双方签订的合同，并在合同约定的时间内将项目实施完成并验收合格，保证满足询价采购项目质量及供货时间等各项要求。</w:t>
      </w:r>
    </w:p>
    <w:p>
      <w:pPr>
        <w:bidi w:val="0"/>
      </w:pPr>
    </w:p>
    <w:p>
      <w:pPr>
        <w:bidi w:val="0"/>
        <w:ind w:firstLine="3080" w:firstLineChars="1100"/>
      </w:pPr>
      <w:r>
        <w:rPr>
          <w:rFonts w:hint="eastAsia"/>
        </w:rPr>
        <w:t xml:space="preserve">法定代表人（代理人）签名或盖章：                 </w:t>
      </w:r>
    </w:p>
    <w:p>
      <w:pPr>
        <w:bidi w:val="0"/>
        <w:ind w:firstLine="3360" w:firstLineChars="1200"/>
      </w:pPr>
      <w:r>
        <w:rPr>
          <w:rFonts w:hint="eastAsia"/>
        </w:rPr>
        <w:t xml:space="preserve">投标人（公章）： </w:t>
      </w:r>
    </w:p>
    <w:p>
      <w:pPr>
        <w:bidi w:val="0"/>
      </w:pPr>
      <w:r>
        <w:rPr>
          <w:rFonts w:hint="eastAsia"/>
        </w:rPr>
        <w:t xml:space="preserve">                </w:t>
      </w:r>
      <w:r>
        <w:rPr>
          <w:rFonts w:hint="eastAsia"/>
          <w:lang w:val="en-US" w:eastAsia="zh-CN"/>
        </w:rPr>
        <w:t xml:space="preserve">                       </w:t>
      </w:r>
      <w:r>
        <w:rPr>
          <w:rFonts w:hint="eastAsia"/>
        </w:rPr>
        <w:t xml:space="preserve">  年  月  日</w:t>
      </w:r>
    </w:p>
    <w:p>
      <w:pPr>
        <w:bidi w:val="0"/>
      </w:pPr>
    </w:p>
    <w:p>
      <w:pPr>
        <w:bidi w:val="0"/>
        <w:sectPr>
          <w:footerReference r:id="rId4" w:type="default"/>
          <w:pgSz w:w="11906" w:h="16838"/>
          <w:pgMar w:top="1134" w:right="851" w:bottom="1134" w:left="1134" w:header="851" w:footer="992" w:gutter="0"/>
          <w:pgNumType w:fmt="numberInDash" w:start="1"/>
          <w:cols w:space="720" w:num="1"/>
          <w:docGrid w:type="lines" w:linePitch="312" w:charSpace="0"/>
        </w:sectPr>
      </w:pPr>
    </w:p>
    <w:p>
      <w:pPr>
        <w:pStyle w:val="5"/>
        <w:bidi w:val="0"/>
        <w:outlineLvl w:val="9"/>
        <w:rPr>
          <w:rFonts w:hint="eastAsia"/>
        </w:rPr>
      </w:pPr>
      <w:bookmarkStart w:id="133" w:name="_Toc28528_WPSOffice_Level1"/>
      <w:bookmarkStart w:id="134" w:name="_Toc4586_WPSOffice_Level1"/>
      <w:bookmarkStart w:id="135" w:name="_Toc20925_WPSOffice_Level1"/>
      <w:bookmarkStart w:id="136" w:name="_Toc5265_WPSOffice_Level1"/>
      <w:bookmarkStart w:id="137" w:name="_Toc30188_WPSOffice_Level1"/>
    </w:p>
    <w:p>
      <w:pPr>
        <w:jc w:val="center"/>
        <w:rPr>
          <w:sz w:val="36"/>
          <w:szCs w:val="36"/>
        </w:rPr>
      </w:pPr>
      <w:bookmarkStart w:id="138" w:name="_Toc6027_WPSOffice_Level2"/>
      <w:bookmarkStart w:id="139" w:name="_Toc1199_WPSOffice_Level2"/>
      <w:bookmarkStart w:id="140" w:name="_Toc9539_WPSOffice_Level2"/>
      <w:bookmarkStart w:id="141" w:name="_Toc26410_WPSOffice_Level2"/>
      <w:bookmarkStart w:id="142" w:name="_Toc24290_WPSOffice_Level2"/>
      <w:bookmarkStart w:id="143" w:name="_Toc26545_WPSOffice_Level2"/>
      <w:bookmarkStart w:id="144" w:name="_Toc19424_WPSOffice_Level2"/>
      <w:bookmarkStart w:id="145" w:name="_Toc15725_WPSOffice_Level2"/>
      <w:bookmarkStart w:id="146" w:name="_Toc22034_WPSOffice_Level2"/>
      <w:bookmarkStart w:id="147" w:name="_Toc17350_WPSOffice_Level2"/>
      <w:r>
        <w:rPr>
          <w:rFonts w:hint="eastAsia"/>
          <w:sz w:val="36"/>
          <w:szCs w:val="36"/>
        </w:rPr>
        <w:t>投标报价表</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bidi w:val="0"/>
      </w:pPr>
      <w:r>
        <w:rPr>
          <w:rFonts w:hint="eastAsia"/>
          <w:lang w:eastAsia="zh-CN"/>
        </w:rPr>
        <w:t>项目名称</w:t>
      </w:r>
      <w:r>
        <w:rPr>
          <w:rFonts w:hint="eastAsia"/>
        </w:rPr>
        <w:t xml:space="preserve">：                                  </w:t>
      </w:r>
      <w:r>
        <w:rPr>
          <w:rFonts w:hint="eastAsia"/>
          <w:lang w:eastAsia="zh-CN"/>
        </w:rPr>
        <w:t>项目编号：</w:t>
      </w:r>
      <w:r>
        <w:rPr>
          <w:rFonts w:hint="eastAsia"/>
        </w:rPr>
        <w:t xml:space="preserve">    </w:t>
      </w:r>
    </w:p>
    <w:tbl>
      <w:tblPr>
        <w:tblStyle w:val="17"/>
        <w:tblW w:w="968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7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375" w:type="dxa"/>
            <w:vAlign w:val="center"/>
          </w:tcPr>
          <w:p>
            <w:pPr>
              <w:adjustRightInd w:val="0"/>
              <w:snapToGrid w:val="0"/>
              <w:spacing w:line="440" w:lineRule="exact"/>
              <w:ind w:firstLine="118" w:firstLineChars="50"/>
              <w:jc w:val="center"/>
              <w:rPr>
                <w:rFonts w:hint="eastAsia" w:ascii="仿宋" w:hAnsi="仿宋" w:eastAsia="仿宋" w:cs="宋体"/>
                <w:spacing w:val="-2"/>
                <w:sz w:val="24"/>
                <w:szCs w:val="24"/>
              </w:rPr>
            </w:pPr>
            <w:r>
              <w:rPr>
                <w:rFonts w:hint="eastAsia" w:ascii="仿宋" w:hAnsi="仿宋" w:cs="宋体"/>
                <w:spacing w:val="-2"/>
                <w:sz w:val="24"/>
                <w:szCs w:val="24"/>
                <w:lang w:val="en-US" w:eastAsia="zh-CN"/>
              </w:rPr>
              <w:t>总价</w:t>
            </w:r>
          </w:p>
        </w:tc>
        <w:tc>
          <w:tcPr>
            <w:tcW w:w="7310" w:type="dxa"/>
            <w:vAlign w:val="center"/>
          </w:tcPr>
          <w:p>
            <w:pPr>
              <w:adjustRightInd w:val="0"/>
              <w:snapToGrid w:val="0"/>
              <w:spacing w:line="440" w:lineRule="exact"/>
              <w:ind w:firstLine="118" w:firstLineChars="50"/>
              <w:jc w:val="left"/>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小写：</w:t>
            </w:r>
          </w:p>
          <w:p>
            <w:pPr>
              <w:adjustRightInd w:val="0"/>
              <w:snapToGrid w:val="0"/>
              <w:spacing w:line="440" w:lineRule="exact"/>
              <w:ind w:firstLine="118" w:firstLineChars="50"/>
              <w:jc w:val="left"/>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大写：</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填报说明：</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1、投标报价的数字采用电脑打印填制，以保证清楚、明了。</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2、投标人如有变更、修改本《投标报价表》中已有的任一内容，均视其为无效投标报价。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法定代表人（或代理人）联系电话：</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pPr>
      <w:r>
        <w:rPr>
          <w:rFonts w:hint="eastAsia"/>
        </w:rPr>
        <w:t xml:space="preserve">投标人（公章）： </w:t>
      </w:r>
    </w:p>
    <w:p>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eastAsia"/>
        </w:rPr>
      </w:pPr>
      <w:r>
        <w:rPr>
          <w:rFonts w:hint="eastAsia"/>
        </w:rPr>
        <w:t>年  月  日</w:t>
      </w:r>
    </w:p>
    <w:p>
      <w:pPr>
        <w:rPr>
          <w:rFonts w:hint="eastAsia"/>
        </w:rPr>
      </w:pPr>
      <w:r>
        <w:rPr>
          <w:rFonts w:hint="eastAsia"/>
        </w:rPr>
        <w:br w:type="page"/>
      </w:r>
    </w:p>
    <w:p>
      <w:pPr>
        <w:pStyle w:val="2"/>
        <w:rPr>
          <w:rFonts w:hint="eastAsia"/>
          <w:lang w:eastAsia="zh-CN"/>
        </w:rPr>
      </w:pPr>
      <w:bookmarkStart w:id="148" w:name="_Toc10943_WPSOffice_Level2"/>
      <w:bookmarkStart w:id="149" w:name="_Toc2170_WPSOffice_Level2"/>
      <w:bookmarkStart w:id="150" w:name="_Toc28996_WPSOffice_Level2"/>
      <w:bookmarkStart w:id="151" w:name="_Toc29940_WPSOffice_Level1"/>
      <w:bookmarkStart w:id="152" w:name="_Toc7476_WPSOffice_Level2"/>
      <w:bookmarkStart w:id="153" w:name="_Toc25781_WPSOffice_Level1"/>
      <w:bookmarkStart w:id="154" w:name="_Toc16189_WPSOffice_Level2"/>
      <w:bookmarkStart w:id="155" w:name="_Toc23018_WPSOffice_Level2"/>
      <w:bookmarkStart w:id="156" w:name="_Toc6188_WPSOffice_Level2"/>
      <w:bookmarkStart w:id="157" w:name="_Toc9354"/>
      <w:bookmarkStart w:id="158" w:name="_Toc17786_WPSOffice_Level2"/>
      <w:bookmarkStart w:id="159" w:name="_Toc24746_WPSOffice_Level2"/>
      <w:bookmarkStart w:id="160" w:name="_Toc4434_WPSOffice_Level2"/>
    </w:p>
    <w:p>
      <w:pPr>
        <w:jc w:val="center"/>
        <w:outlineLvl w:val="0"/>
        <w:rPr>
          <w:rFonts w:hint="eastAsia"/>
          <w:sz w:val="36"/>
          <w:szCs w:val="36"/>
          <w:lang w:eastAsia="zh-CN"/>
        </w:rPr>
      </w:pPr>
      <w:bookmarkStart w:id="161" w:name="_Toc4713"/>
      <w:r>
        <w:rPr>
          <w:rFonts w:hint="eastAsia"/>
          <w:sz w:val="36"/>
          <w:szCs w:val="36"/>
          <w:lang w:eastAsia="zh-CN"/>
        </w:rPr>
        <w:t>报价明细表</w:t>
      </w:r>
    </w:p>
    <w:p>
      <w:pPr>
        <w:bidi w:val="0"/>
        <w:rPr>
          <w:rFonts w:hint="eastAsia"/>
        </w:rPr>
      </w:pPr>
      <w:r>
        <w:rPr>
          <w:rFonts w:hint="eastAsia"/>
          <w:lang w:eastAsia="zh-CN"/>
        </w:rPr>
        <w:t>项目名称</w:t>
      </w:r>
      <w:r>
        <w:rPr>
          <w:rFonts w:hint="eastAsia"/>
        </w:rPr>
        <w:t xml:space="preserve">：                                  </w:t>
      </w:r>
      <w:r>
        <w:rPr>
          <w:rFonts w:hint="eastAsia"/>
          <w:lang w:eastAsia="zh-CN"/>
        </w:rPr>
        <w:t>项目编号：</w:t>
      </w:r>
      <w:r>
        <w:rPr>
          <w:rFonts w:hint="eastAsia"/>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689"/>
        <w:gridCol w:w="1689"/>
        <w:gridCol w:w="1689"/>
        <w:gridCol w:w="1690"/>
        <w:gridCol w:w="169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89" w:type="dxa"/>
          </w:tcPr>
          <w:p>
            <w:pPr>
              <w:bidi w:val="0"/>
              <w:jc w:val="center"/>
              <w:rPr>
                <w:rFonts w:hint="eastAsia" w:eastAsia="仿宋"/>
                <w:vertAlign w:val="baseline"/>
                <w:lang w:eastAsia="zh-CN"/>
              </w:rPr>
            </w:pPr>
            <w:r>
              <w:rPr>
                <w:rFonts w:hint="eastAsia"/>
                <w:vertAlign w:val="baseline"/>
                <w:lang w:eastAsia="zh-CN"/>
              </w:rPr>
              <w:t>名称</w:t>
            </w:r>
          </w:p>
        </w:tc>
        <w:tc>
          <w:tcPr>
            <w:tcW w:w="1689" w:type="dxa"/>
          </w:tcPr>
          <w:p>
            <w:pPr>
              <w:bidi w:val="0"/>
              <w:jc w:val="center"/>
              <w:rPr>
                <w:rFonts w:hint="eastAsia" w:eastAsia="仿宋"/>
                <w:vertAlign w:val="baseline"/>
                <w:lang w:eastAsia="zh-CN"/>
              </w:rPr>
            </w:pPr>
            <w:r>
              <w:rPr>
                <w:rFonts w:hint="eastAsia"/>
                <w:vertAlign w:val="baseline"/>
                <w:lang w:eastAsia="zh-CN"/>
              </w:rPr>
              <w:t>厂家及规格</w:t>
            </w:r>
          </w:p>
        </w:tc>
        <w:tc>
          <w:tcPr>
            <w:tcW w:w="1689" w:type="dxa"/>
          </w:tcPr>
          <w:p>
            <w:pPr>
              <w:bidi w:val="0"/>
              <w:jc w:val="center"/>
              <w:rPr>
                <w:rFonts w:hint="eastAsia" w:eastAsia="仿宋"/>
                <w:vertAlign w:val="baseline"/>
                <w:lang w:eastAsia="zh-CN"/>
              </w:rPr>
            </w:pPr>
            <w:r>
              <w:rPr>
                <w:rFonts w:hint="eastAsia"/>
                <w:vertAlign w:val="baseline"/>
                <w:lang w:eastAsia="zh-CN"/>
              </w:rPr>
              <w:t>单价</w:t>
            </w:r>
          </w:p>
        </w:tc>
        <w:tc>
          <w:tcPr>
            <w:tcW w:w="1690" w:type="dxa"/>
          </w:tcPr>
          <w:p>
            <w:pPr>
              <w:bidi w:val="0"/>
              <w:jc w:val="center"/>
              <w:rPr>
                <w:rFonts w:hint="eastAsia" w:eastAsia="仿宋"/>
                <w:vertAlign w:val="baseline"/>
                <w:lang w:eastAsia="zh-CN"/>
              </w:rPr>
            </w:pPr>
            <w:r>
              <w:rPr>
                <w:rFonts w:hint="eastAsia"/>
                <w:vertAlign w:val="baseline"/>
                <w:lang w:eastAsia="zh-CN"/>
              </w:rPr>
              <w:t>数量</w:t>
            </w:r>
          </w:p>
        </w:tc>
        <w:tc>
          <w:tcPr>
            <w:tcW w:w="1690" w:type="dxa"/>
          </w:tcPr>
          <w:p>
            <w:pPr>
              <w:bidi w:val="0"/>
              <w:jc w:val="center"/>
              <w:rPr>
                <w:rFonts w:hint="eastAsia" w:eastAsia="仿宋"/>
                <w:vertAlign w:val="baseline"/>
                <w:lang w:eastAsia="zh-CN"/>
              </w:rPr>
            </w:pPr>
            <w:r>
              <w:rPr>
                <w:rFonts w:hint="eastAsia"/>
                <w:vertAlign w:val="baseline"/>
                <w:lang w:eastAsia="zh-CN"/>
              </w:rPr>
              <w:t>小计</w:t>
            </w:r>
          </w:p>
        </w:tc>
        <w:tc>
          <w:tcPr>
            <w:tcW w:w="1690" w:type="dxa"/>
          </w:tcPr>
          <w:p>
            <w:pPr>
              <w:bidi w:val="0"/>
              <w:jc w:val="center"/>
              <w:rPr>
                <w:rFonts w:hint="eastAsia" w:eastAsia="仿宋"/>
                <w:vertAlign w:val="baseline"/>
                <w:lang w:eastAsia="zh-CN"/>
              </w:rPr>
            </w:pPr>
            <w:r>
              <w:rPr>
                <w:rFonts w:hint="eastAsia"/>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89" w:type="dxa"/>
          </w:tcPr>
          <w:p>
            <w:pPr>
              <w:bidi w:val="0"/>
              <w:rPr>
                <w:rFonts w:hint="eastAsia"/>
                <w:vertAlign w:val="baseline"/>
              </w:rPr>
            </w:pPr>
          </w:p>
        </w:tc>
        <w:tc>
          <w:tcPr>
            <w:tcW w:w="1689" w:type="dxa"/>
          </w:tcPr>
          <w:p>
            <w:pPr>
              <w:bidi w:val="0"/>
              <w:rPr>
                <w:rFonts w:hint="eastAsia"/>
                <w:vertAlign w:val="baseline"/>
              </w:rPr>
            </w:pPr>
          </w:p>
        </w:tc>
        <w:tc>
          <w:tcPr>
            <w:tcW w:w="1689" w:type="dxa"/>
          </w:tcPr>
          <w:p>
            <w:pPr>
              <w:bidi w:val="0"/>
              <w:rPr>
                <w:rFonts w:hint="eastAsia"/>
                <w:vertAlign w:val="baseline"/>
              </w:rPr>
            </w:pPr>
          </w:p>
        </w:tc>
        <w:tc>
          <w:tcPr>
            <w:tcW w:w="1690" w:type="dxa"/>
          </w:tcPr>
          <w:p>
            <w:pPr>
              <w:bidi w:val="0"/>
              <w:rPr>
                <w:rFonts w:hint="eastAsia"/>
                <w:vertAlign w:val="baseline"/>
              </w:rPr>
            </w:pPr>
          </w:p>
        </w:tc>
        <w:tc>
          <w:tcPr>
            <w:tcW w:w="1690" w:type="dxa"/>
          </w:tcPr>
          <w:p>
            <w:pPr>
              <w:bidi w:val="0"/>
              <w:rPr>
                <w:rFonts w:hint="eastAsia"/>
                <w:vertAlign w:val="baseline"/>
              </w:rPr>
            </w:pPr>
          </w:p>
        </w:tc>
        <w:tc>
          <w:tcPr>
            <w:tcW w:w="1690" w:type="dxa"/>
          </w:tcPr>
          <w:p>
            <w:pPr>
              <w:bidi w:val="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89" w:type="dxa"/>
          </w:tcPr>
          <w:p>
            <w:pPr>
              <w:bidi w:val="0"/>
              <w:rPr>
                <w:rFonts w:hint="eastAsia"/>
                <w:vertAlign w:val="baseline"/>
              </w:rPr>
            </w:pPr>
          </w:p>
        </w:tc>
        <w:tc>
          <w:tcPr>
            <w:tcW w:w="1689" w:type="dxa"/>
          </w:tcPr>
          <w:p>
            <w:pPr>
              <w:bidi w:val="0"/>
              <w:rPr>
                <w:rFonts w:hint="eastAsia"/>
                <w:vertAlign w:val="baseline"/>
              </w:rPr>
            </w:pPr>
          </w:p>
        </w:tc>
        <w:tc>
          <w:tcPr>
            <w:tcW w:w="1689" w:type="dxa"/>
          </w:tcPr>
          <w:p>
            <w:pPr>
              <w:bidi w:val="0"/>
              <w:rPr>
                <w:rFonts w:hint="eastAsia"/>
                <w:vertAlign w:val="baseline"/>
              </w:rPr>
            </w:pPr>
          </w:p>
        </w:tc>
        <w:tc>
          <w:tcPr>
            <w:tcW w:w="1690" w:type="dxa"/>
          </w:tcPr>
          <w:p>
            <w:pPr>
              <w:bidi w:val="0"/>
              <w:rPr>
                <w:rFonts w:hint="eastAsia"/>
                <w:vertAlign w:val="baseline"/>
              </w:rPr>
            </w:pPr>
          </w:p>
        </w:tc>
        <w:tc>
          <w:tcPr>
            <w:tcW w:w="1690" w:type="dxa"/>
          </w:tcPr>
          <w:p>
            <w:pPr>
              <w:bidi w:val="0"/>
              <w:rPr>
                <w:rFonts w:hint="eastAsia"/>
                <w:vertAlign w:val="baseline"/>
              </w:rPr>
            </w:pPr>
          </w:p>
        </w:tc>
        <w:tc>
          <w:tcPr>
            <w:tcW w:w="1690" w:type="dxa"/>
          </w:tcPr>
          <w:p>
            <w:pPr>
              <w:bidi w:val="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89" w:type="dxa"/>
          </w:tcPr>
          <w:p>
            <w:pPr>
              <w:bidi w:val="0"/>
              <w:rPr>
                <w:rFonts w:hint="eastAsia" w:eastAsia="仿宋"/>
                <w:vertAlign w:val="baseline"/>
                <w:lang w:eastAsia="zh-CN"/>
              </w:rPr>
            </w:pPr>
            <w:r>
              <w:rPr>
                <w:rFonts w:hint="eastAsia"/>
                <w:vertAlign w:val="baseline"/>
                <w:lang w:eastAsia="zh-CN"/>
              </w:rPr>
              <w:t>可扩展</w:t>
            </w:r>
          </w:p>
        </w:tc>
        <w:tc>
          <w:tcPr>
            <w:tcW w:w="1689" w:type="dxa"/>
          </w:tcPr>
          <w:p>
            <w:pPr>
              <w:bidi w:val="0"/>
              <w:rPr>
                <w:rFonts w:hint="eastAsia"/>
                <w:vertAlign w:val="baseline"/>
              </w:rPr>
            </w:pPr>
          </w:p>
        </w:tc>
        <w:tc>
          <w:tcPr>
            <w:tcW w:w="1689" w:type="dxa"/>
          </w:tcPr>
          <w:p>
            <w:pPr>
              <w:bidi w:val="0"/>
              <w:rPr>
                <w:rFonts w:hint="eastAsia"/>
                <w:vertAlign w:val="baseline"/>
              </w:rPr>
            </w:pPr>
          </w:p>
        </w:tc>
        <w:tc>
          <w:tcPr>
            <w:tcW w:w="1690" w:type="dxa"/>
          </w:tcPr>
          <w:p>
            <w:pPr>
              <w:bidi w:val="0"/>
              <w:rPr>
                <w:rFonts w:hint="eastAsia"/>
                <w:vertAlign w:val="baseline"/>
              </w:rPr>
            </w:pPr>
          </w:p>
        </w:tc>
        <w:tc>
          <w:tcPr>
            <w:tcW w:w="1690" w:type="dxa"/>
          </w:tcPr>
          <w:p>
            <w:pPr>
              <w:bidi w:val="0"/>
              <w:rPr>
                <w:rFonts w:hint="eastAsia"/>
                <w:vertAlign w:val="baseline"/>
              </w:rPr>
            </w:pPr>
          </w:p>
        </w:tc>
        <w:tc>
          <w:tcPr>
            <w:tcW w:w="1690" w:type="dxa"/>
          </w:tcPr>
          <w:p>
            <w:pPr>
              <w:bidi w:val="0"/>
              <w:rPr>
                <w:rFonts w:hint="eastAsia"/>
                <w:vertAlign w:val="baseline"/>
              </w:rPr>
            </w:pPr>
          </w:p>
        </w:tc>
      </w:tr>
    </w:tbl>
    <w:p>
      <w:pPr>
        <w:bidi w:val="0"/>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填报说明：</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1、投标报价的数字采用电脑打印填制，以保证清楚、明了。</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2、投标人如有变更、修改本《投标报价表》中已有的任一内容，均视其为无效投标报价。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法定代表人（或代理人）联系电话：</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pPr>
      <w:r>
        <w:rPr>
          <w:rFonts w:hint="eastAsia"/>
        </w:rPr>
        <w:t xml:space="preserve">投标人（公章）： </w:t>
      </w:r>
    </w:p>
    <w:p>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eastAsia"/>
        </w:rPr>
      </w:pPr>
      <w:r>
        <w:rPr>
          <w:rFonts w:hint="eastAsia"/>
        </w:rPr>
        <w:t>年  月  日</w:t>
      </w:r>
    </w:p>
    <w:p>
      <w:pPr>
        <w:rPr>
          <w:rFonts w:hint="eastAsia"/>
          <w:sz w:val="36"/>
          <w:szCs w:val="36"/>
        </w:rPr>
      </w:pPr>
    </w:p>
    <w:p>
      <w:pPr>
        <w:rPr>
          <w:rFonts w:hint="eastAsia"/>
          <w:sz w:val="36"/>
          <w:szCs w:val="36"/>
        </w:rPr>
      </w:pPr>
      <w:r>
        <w:rPr>
          <w:rFonts w:hint="eastAsia"/>
          <w:sz w:val="36"/>
          <w:szCs w:val="36"/>
        </w:rPr>
        <w:br w:type="page"/>
      </w:r>
    </w:p>
    <w:p>
      <w:pPr>
        <w:jc w:val="center"/>
        <w:outlineLvl w:val="0"/>
        <w:rPr>
          <w:rFonts w:hint="eastAsia"/>
          <w:sz w:val="36"/>
          <w:szCs w:val="36"/>
        </w:rPr>
      </w:pPr>
      <w:r>
        <w:rPr>
          <w:rFonts w:hint="eastAsia"/>
          <w:sz w:val="36"/>
          <w:szCs w:val="36"/>
        </w:rPr>
        <w:t>法定代表人身份证明书</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bidi w:val="0"/>
        <w:jc w:val="both"/>
        <w:rPr>
          <w:rFonts w:hint="eastAsia" w:ascii="Times New Roman" w:hAnsi="Times New Roman"/>
        </w:rPr>
      </w:pPr>
      <w:r>
        <w:rPr>
          <w:rFonts w:hint="eastAsia" w:ascii="Times New Roman" w:hAnsi="Times New Roman"/>
        </w:rPr>
        <w:t>重庆市铜梁区人民医院:</w:t>
      </w:r>
    </w:p>
    <w:p>
      <w:pPr>
        <w:bidi w:val="0"/>
      </w:pPr>
      <w:r>
        <w:rPr>
          <w:rFonts w:hint="eastAsia"/>
        </w:rPr>
        <w:t xml:space="preserve">               （法定代表人姓名）在                        （投标单位名称）任          (职务名称)，是本单位法定代表人。</w:t>
      </w:r>
    </w:p>
    <w:p>
      <w:pPr>
        <w:bidi w:val="0"/>
      </w:pPr>
      <w:r>
        <w:rPr>
          <w:rFonts w:hint="eastAsia"/>
        </w:rPr>
        <w:t xml:space="preserve"> 特此证明。</w:t>
      </w:r>
    </w:p>
    <w:p>
      <w:pPr>
        <w:bidi w:val="0"/>
      </w:pPr>
    </w:p>
    <w:p>
      <w:pPr>
        <w:bidi w:val="0"/>
      </w:pPr>
    </w:p>
    <w:p>
      <w:pPr>
        <w:bidi w:val="0"/>
      </w:pPr>
      <w:r>
        <w:rPr>
          <w:rFonts w:hint="eastAsia"/>
        </w:rPr>
        <w:t>法定代表人签名或盖章：</w:t>
      </w:r>
    </w:p>
    <w:p>
      <w:pPr>
        <w:bidi w:val="0"/>
      </w:pPr>
      <w:r>
        <w:rPr>
          <w:rFonts w:hint="eastAsia"/>
        </w:rPr>
        <w:t>法定代表人联系电话：</w:t>
      </w:r>
    </w:p>
    <w:p>
      <w:pPr>
        <w:bidi w:val="0"/>
      </w:pPr>
      <w:r>
        <w:pict>
          <v:rect id="Rectangle 2" o:spid="_x0000_s1026" o:spt="1" style="position:absolute;left:0pt;margin-left:32.55pt;margin-top:23.4pt;height:155.85pt;width:408.45pt;z-index:251660288;mso-width-relative:page;mso-height-relative:page;" coordsize="21600,21600">
            <v:path/>
            <v:fill focussize="0,0"/>
            <v:stroke dashstyle="1 1" endcap="round"/>
            <v:imagedata o:title=""/>
            <o:lock v:ext="edit"/>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pPr>
        <w:bidi w:val="0"/>
      </w:pPr>
    </w:p>
    <w:p>
      <w:pPr>
        <w:bidi w:val="0"/>
      </w:pPr>
      <w:r>
        <w:rPr>
          <w:rFonts w:hint="eastAsia"/>
        </w:rPr>
        <w:t xml:space="preserve">                             </w:t>
      </w:r>
    </w:p>
    <w:p>
      <w:pPr>
        <w:bidi w:val="0"/>
      </w:pPr>
    </w:p>
    <w:p>
      <w:pPr>
        <w:bidi w:val="0"/>
      </w:pPr>
    </w:p>
    <w:p>
      <w:pPr>
        <w:bidi w:val="0"/>
      </w:pPr>
    </w:p>
    <w:p>
      <w:pPr>
        <w:bidi w:val="0"/>
        <w:ind w:firstLine="4760" w:firstLineChars="1700"/>
      </w:pPr>
      <w:r>
        <w:rPr>
          <w:rFonts w:hint="eastAsia"/>
        </w:rPr>
        <w:t>投标人（公章）：</w:t>
      </w:r>
    </w:p>
    <w:p>
      <w:pPr>
        <w:bidi w:val="0"/>
      </w:pPr>
      <w:r>
        <w:rPr>
          <w:rFonts w:hint="eastAsia"/>
        </w:rPr>
        <w:t xml:space="preserve">    </w:t>
      </w:r>
      <w:r>
        <w:rPr>
          <w:rFonts w:hint="eastAsia"/>
          <w:lang w:val="en-US" w:eastAsia="zh-CN"/>
        </w:rPr>
        <w:t xml:space="preserve">                                    </w:t>
      </w:r>
      <w:r>
        <w:rPr>
          <w:rFonts w:hint="eastAsia"/>
        </w:rPr>
        <w:t>年  月  日</w:t>
      </w:r>
    </w:p>
    <w:p>
      <w:pPr>
        <w:bidi w:val="0"/>
      </w:pPr>
    </w:p>
    <w:p>
      <w:pPr>
        <w:bidi w:val="0"/>
      </w:pPr>
    </w:p>
    <w:p>
      <w:pPr>
        <w:bidi w:val="0"/>
      </w:pPr>
    </w:p>
    <w:p>
      <w:pPr>
        <w:rPr>
          <w:rFonts w:hint="eastAsia"/>
        </w:rPr>
      </w:pPr>
      <w:r>
        <w:rPr>
          <w:rFonts w:hint="eastAsia"/>
        </w:rPr>
        <w:br w:type="page"/>
      </w:r>
    </w:p>
    <w:p>
      <w:pPr>
        <w:jc w:val="center"/>
        <w:outlineLvl w:val="0"/>
        <w:rPr>
          <w:rFonts w:hint="eastAsia"/>
        </w:rPr>
      </w:pPr>
      <w:bookmarkStart w:id="162" w:name="_Toc7374"/>
      <w:bookmarkStart w:id="163" w:name="_Toc6815_WPSOffice_Level2"/>
      <w:bookmarkStart w:id="164" w:name="_Toc6070_WPSOffice_Level2"/>
      <w:bookmarkStart w:id="165" w:name="_Toc26171_WPSOffice_Level2"/>
      <w:bookmarkStart w:id="166" w:name="_Toc29856_WPSOffice_Level1"/>
      <w:bookmarkStart w:id="167" w:name="_Toc31461"/>
      <w:bookmarkStart w:id="168" w:name="_Toc24375_WPSOffice_Level1"/>
      <w:bookmarkStart w:id="169" w:name="_Toc29596_WPSOffice_Level1"/>
      <w:bookmarkStart w:id="170" w:name="_Toc21437_WPSOffice_Level2"/>
      <w:bookmarkStart w:id="171" w:name="_Toc11448_WPSOffice_Level2"/>
      <w:bookmarkStart w:id="172" w:name="_Toc31331_WPSOffice_Level2"/>
      <w:bookmarkStart w:id="173" w:name="_Toc31413_WPSOffice_Level2"/>
      <w:bookmarkStart w:id="174" w:name="_Toc2886_WPSOffice_Level2"/>
      <w:bookmarkStart w:id="175" w:name="_Toc18914_WPSOffice_Level1"/>
      <w:bookmarkStart w:id="176" w:name="_Toc23177_WPSOffice_Level1"/>
      <w:bookmarkStart w:id="177" w:name="_Toc7920_WPSOffice_Level2"/>
      <w:bookmarkStart w:id="178" w:name="_Toc15123_WPSOffice_Level2"/>
      <w:r>
        <w:rPr>
          <w:rFonts w:hint="eastAsia"/>
          <w:sz w:val="36"/>
          <w:szCs w:val="36"/>
        </w:rPr>
        <w:t>法定代表人授权委托书</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bidi w:val="0"/>
        <w:jc w:val="both"/>
      </w:pPr>
      <w:r>
        <w:rPr>
          <w:rFonts w:hint="eastAsia" w:ascii="Times New Roman" w:hAnsi="Times New Roman"/>
        </w:rPr>
        <w:t>重庆市铜梁区人</w:t>
      </w:r>
      <w:r>
        <w:rPr>
          <w:rFonts w:hint="eastAsia"/>
        </w:rPr>
        <w:t>民医院:</w:t>
      </w:r>
    </w:p>
    <w:p>
      <w:pPr>
        <w:bidi w:val="0"/>
        <w:ind w:firstLine="840" w:firstLineChars="300"/>
      </w:pPr>
      <w:r>
        <w:rPr>
          <w:rFonts w:hint="eastAsia"/>
        </w:rPr>
        <w:t>本授权书声明：我      （姓名）系                 （投标单位名称）的法定代表人，现授权本公司的 ______________（姓名）（联系电话：___________）为我公司代理人，以本公司的名义参加《</w:t>
      </w:r>
      <w:r>
        <w:rPr>
          <w:rFonts w:hint="eastAsia"/>
          <w:lang w:eastAsia="zh-CN"/>
        </w:rPr>
        <w:t>PBL教室</w:t>
      </w:r>
      <w:r>
        <w:rPr>
          <w:rFonts w:hint="eastAsia"/>
        </w:rPr>
        <w:t>》【</w:t>
      </w:r>
      <w:r>
        <w:rPr>
          <w:rFonts w:hint="eastAsia"/>
          <w:lang w:eastAsia="zh-CN"/>
        </w:rPr>
        <w:t>TYC（询）2024-006</w:t>
      </w:r>
      <w:r>
        <w:rPr>
          <w:rFonts w:hint="eastAsia"/>
        </w:rPr>
        <w:t>】项目的投标活动。代理人在本项目询价采购过程中所签署的一切文件和处理与之有关的一切事务，本人均予以确认。</w:t>
      </w:r>
    </w:p>
    <w:p>
      <w:pPr>
        <w:bidi w:val="0"/>
        <w:ind w:firstLine="840" w:firstLineChars="300"/>
      </w:pPr>
      <w:r>
        <w:rPr>
          <w:rFonts w:hint="eastAsia"/>
        </w:rPr>
        <w:t>授权代理人无再委托权，特此授权。</w:t>
      </w:r>
    </w:p>
    <w:p>
      <w:pPr>
        <w:bidi w:val="0"/>
      </w:pPr>
    </w:p>
    <w:p>
      <w:pPr>
        <w:bidi w:val="0"/>
      </w:pPr>
      <w:r>
        <w:rPr>
          <w:rFonts w:hint="eastAsia"/>
        </w:rPr>
        <w:t>被授权代理人签名或盖章：</w:t>
      </w:r>
    </w:p>
    <w:p>
      <w:pPr>
        <w:bidi w:val="0"/>
      </w:pPr>
      <w:r>
        <w:rPr>
          <w:rFonts w:hint="eastAsia"/>
        </w:rPr>
        <w:t>法定代表人签名或盖章：</w:t>
      </w:r>
    </w:p>
    <w:p>
      <w:pPr>
        <w:bidi w:val="0"/>
      </w:pPr>
      <w:r>
        <w:pict>
          <v:rect id="Rectangle 3" o:spid="_x0000_s1027" o:spt="1" style="position:absolute;left:0pt;margin-left:41.55pt;margin-top:0pt;height:156pt;width:418.5pt;z-index:251661312;mso-width-relative:page;mso-height-relative:page;" coordsize="21600,21600">
            <v:path/>
            <v:fill focussize="0,0"/>
            <v:stroke/>
            <v:imagedata o:title=""/>
            <o:lock v:ext="edit"/>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w:r>
    </w:p>
    <w:p>
      <w:pPr>
        <w:bidi w:val="0"/>
      </w:pPr>
    </w:p>
    <w:p>
      <w:pPr>
        <w:bidi w:val="0"/>
      </w:pPr>
    </w:p>
    <w:p>
      <w:pPr>
        <w:bidi w:val="0"/>
      </w:pPr>
    </w:p>
    <w:p>
      <w:pPr>
        <w:bidi w:val="0"/>
        <w:rPr>
          <w:rFonts w:hint="eastAsia"/>
        </w:rPr>
      </w:pPr>
      <w:bookmarkStart w:id="179" w:name="_Toc31536_WPSOffice_Level1"/>
      <w:bookmarkStart w:id="180" w:name="_Toc22070_WPSOffice_Level1"/>
      <w:bookmarkStart w:id="181" w:name="_Toc21021_WPSOffice_Level1"/>
    </w:p>
    <w:p>
      <w:pPr>
        <w:bidi w:val="0"/>
        <w:ind w:firstLine="6160" w:firstLineChars="2200"/>
      </w:pPr>
      <w:r>
        <w:rPr>
          <w:rFonts w:hint="eastAsia"/>
        </w:rPr>
        <w:t xml:space="preserve">投标人（公章）： </w:t>
      </w:r>
    </w:p>
    <w:p>
      <w:pPr>
        <w:bidi w:val="0"/>
        <w:ind w:firstLine="5880" w:firstLineChars="2100"/>
        <w:rPr>
          <w:rFonts w:hint="eastAsia"/>
        </w:rPr>
      </w:pPr>
      <w:r>
        <w:rPr>
          <w:rFonts w:hint="eastAsia"/>
        </w:rPr>
        <w:t>年  月  日</w:t>
      </w:r>
    </w:p>
    <w:p>
      <w:pPr>
        <w:rPr>
          <w:rFonts w:hint="eastAsia"/>
        </w:rPr>
      </w:pPr>
      <w:r>
        <w:rPr>
          <w:rFonts w:hint="eastAsia"/>
        </w:rPr>
        <w:br w:type="page"/>
      </w:r>
    </w:p>
    <w:p>
      <w:pPr>
        <w:rPr>
          <w:rFonts w:hint="eastAsia"/>
        </w:rPr>
      </w:pPr>
    </w:p>
    <w:p>
      <w:pPr>
        <w:bidi w:val="0"/>
        <w:jc w:val="center"/>
        <w:rPr>
          <w:rFonts w:hint="eastAsia"/>
          <w:sz w:val="36"/>
          <w:szCs w:val="36"/>
        </w:rPr>
      </w:pPr>
      <w:bookmarkStart w:id="182" w:name="_Toc29280_WPSOffice_Level2"/>
      <w:bookmarkStart w:id="183" w:name="_Toc16744_WPSOffice_Level2"/>
      <w:bookmarkStart w:id="184" w:name="_Toc9887_WPSOffice_Level2"/>
      <w:bookmarkStart w:id="185" w:name="_Toc7555_WPSOffice_Level2"/>
      <w:bookmarkStart w:id="186" w:name="_Toc14616_WPSOffice_Level2"/>
      <w:bookmarkStart w:id="187" w:name="_Toc2928_WPSOffice_Level2"/>
      <w:bookmarkStart w:id="188" w:name="_Toc12294_WPSOffice_Level2"/>
      <w:bookmarkStart w:id="189" w:name="_Toc28024_WPSOffice_Level2"/>
      <w:bookmarkStart w:id="190" w:name="_Toc11275_WPSOffice_Level2"/>
      <w:bookmarkStart w:id="191" w:name="_Toc16263_WPSOffice_Level2"/>
      <w:r>
        <w:rPr>
          <w:rFonts w:hint="eastAsia"/>
          <w:sz w:val="36"/>
          <w:szCs w:val="36"/>
        </w:rPr>
        <w:t>商务</w:t>
      </w:r>
      <w:r>
        <w:rPr>
          <w:rFonts w:hint="eastAsia"/>
          <w:sz w:val="36"/>
          <w:szCs w:val="36"/>
          <w:lang w:eastAsia="zh-CN"/>
        </w:rPr>
        <w:t>要求</w:t>
      </w:r>
      <w:r>
        <w:rPr>
          <w:rFonts w:hint="eastAsia"/>
          <w:sz w:val="36"/>
          <w:szCs w:val="36"/>
        </w:rPr>
        <w:t>应答承诺书</w:t>
      </w:r>
      <w:bookmarkEnd w:id="179"/>
      <w:bookmarkEnd w:id="180"/>
      <w:bookmarkEnd w:id="181"/>
      <w:bookmarkEnd w:id="182"/>
      <w:bookmarkEnd w:id="183"/>
      <w:bookmarkEnd w:id="184"/>
      <w:bookmarkEnd w:id="185"/>
      <w:bookmarkEnd w:id="186"/>
      <w:bookmarkEnd w:id="187"/>
      <w:bookmarkEnd w:id="188"/>
      <w:bookmarkEnd w:id="189"/>
      <w:bookmarkEnd w:id="190"/>
      <w:bookmarkEnd w:id="191"/>
    </w:p>
    <w:p>
      <w:pPr>
        <w:bidi w:val="0"/>
        <w:ind w:firstLine="560" w:firstLineChars="200"/>
        <w:rPr>
          <w:rFonts w:hint="eastAsia"/>
        </w:rPr>
      </w:pPr>
      <w:r>
        <w:rPr>
          <w:rFonts w:hint="eastAsia"/>
        </w:rPr>
        <w:t>重庆市铜梁区人民医院：根据你方制发的《</w:t>
      </w:r>
      <w:r>
        <w:rPr>
          <w:rFonts w:hint="eastAsia"/>
          <w:lang w:eastAsia="zh-CN"/>
        </w:rPr>
        <w:t>PBL教室</w:t>
      </w:r>
      <w:r>
        <w:rPr>
          <w:rFonts w:hint="eastAsia"/>
        </w:rPr>
        <w:t>》【</w:t>
      </w:r>
      <w:r>
        <w:rPr>
          <w:rFonts w:hint="eastAsia"/>
          <w:lang w:eastAsia="zh-CN"/>
        </w:rPr>
        <w:t>TYC（询）2024-006</w:t>
      </w:r>
      <w:r>
        <w:rPr>
          <w:rFonts w:hint="eastAsia"/>
        </w:rPr>
        <w:t>】采购文件，我方针对采购文件第二篇“采购项目商务要求</w:t>
      </w:r>
      <w:r>
        <w:rPr>
          <w:rFonts w:hint="eastAsia"/>
          <w:lang w:eastAsia="zh-CN"/>
        </w:rPr>
        <w:t>要求</w:t>
      </w:r>
      <w:r>
        <w:rPr>
          <w:rFonts w:hint="eastAsia"/>
        </w:rPr>
        <w:t>”的内容作出应答承诺如下：我方完全同意采购文件中提出的关于采购项目的各项商务要求。其中，我方承诺优于采购项目商务要求的内容如下：</w:t>
      </w:r>
      <w:r>
        <w:rPr>
          <w:rFonts w:hint="eastAsia"/>
          <w:lang w:val="en-US" w:eastAsia="zh-CN"/>
        </w:rPr>
        <w:t xml:space="preserve">                               1.                                                                         2.</w:t>
      </w:r>
      <w:r>
        <w:rPr>
          <w:rFonts w:hint="eastAsia"/>
        </w:rPr>
        <w:t xml:space="preserve"> </w:t>
      </w:r>
    </w:p>
    <w:p>
      <w:pPr>
        <w:bidi w:val="0"/>
      </w:pPr>
      <w:r>
        <w:rPr>
          <w:rFonts w:hint="eastAsia"/>
        </w:rPr>
        <w:t>(如果有</w:t>
      </w:r>
      <w:r>
        <w:rPr>
          <w:rFonts w:hint="eastAsia"/>
          <w:lang w:eastAsia="zh-CN"/>
        </w:rPr>
        <w:t>，</w:t>
      </w:r>
      <w:r>
        <w:rPr>
          <w:rFonts w:hint="eastAsia"/>
        </w:rPr>
        <w:t>请投标人逐条对照列示。)</w:t>
      </w:r>
    </w:p>
    <w:p>
      <w:pPr>
        <w:bidi w:val="0"/>
      </w:pPr>
      <w:r>
        <w:rPr>
          <w:rFonts w:hint="eastAsia"/>
        </w:rPr>
        <w:t>法定代表人（或代理人）签名或盖章：</w:t>
      </w:r>
    </w:p>
    <w:p>
      <w:pPr>
        <w:bidi w:val="0"/>
      </w:pPr>
      <w:r>
        <w:rPr>
          <w:rFonts w:hint="eastAsia"/>
        </w:rPr>
        <w:t xml:space="preserve">法定代表人（或代理人）联系电话：              </w:t>
      </w:r>
    </w:p>
    <w:p>
      <w:pPr>
        <w:bidi w:val="0"/>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投标人（公章）：                  </w:t>
      </w:r>
    </w:p>
    <w:p>
      <w:pPr>
        <w:bidi w:val="0"/>
        <w:rPr>
          <w:rFonts w:hint="eastAsia"/>
        </w:rPr>
      </w:pPr>
      <w:r>
        <w:rPr>
          <w:rFonts w:hint="eastAsia"/>
        </w:rPr>
        <w:t xml:space="preserve">                                                 年   月   日</w:t>
      </w:r>
    </w:p>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rPr>
      </w:pPr>
      <w:r>
        <w:rPr>
          <w:rFonts w:hint="eastAsia"/>
        </w:rPr>
        <w:br w:type="page"/>
      </w:r>
    </w:p>
    <w:p>
      <w:pPr>
        <w:bidi w:val="0"/>
        <w:jc w:val="center"/>
      </w:pPr>
      <w:bookmarkStart w:id="192" w:name="_Toc28085_WPSOffice_Level1"/>
      <w:bookmarkStart w:id="193" w:name="_Toc14188_WPSOffice_Level1"/>
      <w:bookmarkStart w:id="194" w:name="_Toc28023_WPSOffice_Level1"/>
      <w:bookmarkStart w:id="195" w:name="_Toc22482_WPSOffice_Level1"/>
      <w:bookmarkStart w:id="196" w:name="_Toc23884_WPSOffice_Level1"/>
      <w:bookmarkStart w:id="197" w:name="_Toc25659_WPSOffice_Level1"/>
      <w:bookmarkStart w:id="198" w:name="_Toc3373_WPSOffice_Level1"/>
      <w:bookmarkStart w:id="199" w:name="_Toc5060_WPSOffice_Level1"/>
      <w:bookmarkStart w:id="200" w:name="_Toc10046_WPSOffice_Level1"/>
      <w:r>
        <w:rPr>
          <w:rFonts w:hint="eastAsia"/>
          <w:sz w:val="36"/>
          <w:szCs w:val="36"/>
        </w:rPr>
        <w:t>技术要求响应/偏离表</w:t>
      </w:r>
      <w:bookmarkEnd w:id="192"/>
      <w:bookmarkEnd w:id="193"/>
      <w:bookmarkEnd w:id="194"/>
      <w:bookmarkEnd w:id="195"/>
      <w:bookmarkEnd w:id="196"/>
      <w:bookmarkEnd w:id="197"/>
      <w:bookmarkEnd w:id="198"/>
      <w:bookmarkEnd w:id="199"/>
      <w:bookmarkEnd w:id="200"/>
    </w:p>
    <w:tbl>
      <w:tblPr>
        <w:tblStyle w:val="17"/>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3441"/>
        <w:gridCol w:w="115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4191" w:type="dxa"/>
            <w:vAlign w:val="center"/>
          </w:tcPr>
          <w:p>
            <w:pPr>
              <w:bidi w:val="0"/>
              <w:rPr>
                <w:sz w:val="28"/>
                <w:szCs w:val="28"/>
              </w:rPr>
            </w:pPr>
            <w:r>
              <w:rPr>
                <w:rFonts w:hint="eastAsia"/>
                <w:sz w:val="28"/>
                <w:szCs w:val="28"/>
              </w:rPr>
              <w:t xml:space="preserve">投标人（公章）:                  </w:t>
            </w:r>
          </w:p>
        </w:tc>
        <w:tc>
          <w:tcPr>
            <w:tcW w:w="5976" w:type="dxa"/>
            <w:gridSpan w:val="3"/>
            <w:vAlign w:val="center"/>
          </w:tcPr>
          <w:p>
            <w:pPr>
              <w:bidi w:val="0"/>
              <w:rPr>
                <w:rFonts w:hint="eastAsia" w:eastAsia="仿宋"/>
                <w:sz w:val="28"/>
                <w:szCs w:val="28"/>
                <w:lang w:eastAsia="zh-CN"/>
              </w:rPr>
            </w:pPr>
            <w:r>
              <w:rPr>
                <w:rFonts w:hint="eastAsia"/>
                <w:sz w:val="28"/>
                <w:szCs w:val="28"/>
              </w:rPr>
              <w:t>项目编号:</w:t>
            </w:r>
            <w:r>
              <w:rPr>
                <w:rFonts w:hint="eastAsia"/>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10167" w:type="dxa"/>
            <w:gridSpan w:val="4"/>
            <w:vAlign w:val="center"/>
          </w:tcPr>
          <w:p>
            <w:pPr>
              <w:bidi w:val="0"/>
              <w:rPr>
                <w:rFonts w:hint="eastAsia" w:eastAsia="仿宋"/>
                <w:sz w:val="28"/>
                <w:szCs w:val="28"/>
                <w:lang w:val="en-US" w:eastAsia="zh-CN"/>
              </w:rPr>
            </w:pPr>
            <w:r>
              <w:rPr>
                <w:rFonts w:hint="eastAsia"/>
                <w:sz w:val="28"/>
                <w:szCs w:val="28"/>
                <w:lang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jc w:val="center"/>
              <w:rPr>
                <w:sz w:val="28"/>
                <w:szCs w:val="28"/>
              </w:rPr>
            </w:pPr>
            <w:r>
              <w:rPr>
                <w:rFonts w:hint="eastAsia"/>
                <w:sz w:val="28"/>
                <w:szCs w:val="28"/>
              </w:rPr>
              <w:t>招标规格要求</w:t>
            </w:r>
          </w:p>
        </w:tc>
        <w:tc>
          <w:tcPr>
            <w:tcW w:w="3441" w:type="dxa"/>
            <w:vAlign w:val="center"/>
          </w:tcPr>
          <w:p>
            <w:pPr>
              <w:bidi w:val="0"/>
              <w:jc w:val="center"/>
              <w:rPr>
                <w:sz w:val="28"/>
                <w:szCs w:val="28"/>
              </w:rPr>
            </w:pPr>
            <w:r>
              <w:rPr>
                <w:rFonts w:hint="eastAsia"/>
                <w:sz w:val="28"/>
                <w:szCs w:val="28"/>
              </w:rPr>
              <w:t>投标规格</w:t>
            </w:r>
          </w:p>
        </w:tc>
        <w:tc>
          <w:tcPr>
            <w:tcW w:w="1155" w:type="dxa"/>
            <w:vAlign w:val="center"/>
          </w:tcPr>
          <w:p>
            <w:pPr>
              <w:bidi w:val="0"/>
              <w:jc w:val="center"/>
              <w:rPr>
                <w:sz w:val="28"/>
                <w:szCs w:val="28"/>
              </w:rPr>
            </w:pPr>
            <w:r>
              <w:rPr>
                <w:rFonts w:hint="default"/>
                <w:sz w:val="28"/>
                <w:szCs w:val="28"/>
              </w:rPr>
              <w:t>响应情况</w:t>
            </w:r>
          </w:p>
        </w:tc>
        <w:tc>
          <w:tcPr>
            <w:tcW w:w="1380" w:type="dxa"/>
            <w:vAlign w:val="center"/>
          </w:tcPr>
          <w:p>
            <w:pPr>
              <w:bidi w:val="0"/>
              <w:jc w:val="center"/>
              <w:rPr>
                <w:sz w:val="28"/>
                <w:szCs w:val="28"/>
              </w:rPr>
            </w:pPr>
            <w:r>
              <w:rPr>
                <w:rFonts w:hint="eastAsia"/>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4"/>
            <w:vAlign w:val="center"/>
          </w:tcPr>
          <w:p>
            <w:pPr>
              <w:widowControl/>
              <w:spacing w:line="320" w:lineRule="exact"/>
              <w:jc w:val="left"/>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rPr>
              <w:t>注：</w:t>
            </w:r>
            <w:r>
              <w:rPr>
                <w:rFonts w:hint="eastAsia" w:ascii="仿宋" w:hAnsi="仿宋" w:eastAsia="仿宋" w:cs="宋体"/>
                <w:color w:val="auto"/>
                <w:kern w:val="0"/>
                <w:sz w:val="22"/>
                <w:szCs w:val="22"/>
                <w:lang w:val="en-US" w:eastAsia="zh-CN"/>
              </w:rPr>
              <w:t>1、</w:t>
            </w:r>
            <w:r>
              <w:rPr>
                <w:rFonts w:hint="eastAsia" w:ascii="仿宋" w:hAnsi="仿宋" w:eastAsia="仿宋" w:cs="宋体"/>
                <w:color w:val="auto"/>
                <w:kern w:val="0"/>
                <w:sz w:val="22"/>
                <w:szCs w:val="22"/>
              </w:rPr>
              <w:t>投标人应对照招标文件技术规格逐条说明</w:t>
            </w:r>
            <w:r>
              <w:rPr>
                <w:rFonts w:hint="eastAsia" w:ascii="仿宋" w:hAnsi="仿宋" w:eastAsia="仿宋" w:cs="宋体"/>
                <w:color w:val="auto"/>
                <w:kern w:val="0"/>
                <w:sz w:val="22"/>
                <w:szCs w:val="22"/>
                <w:lang w:eastAsia="zh-CN"/>
              </w:rPr>
              <w:t>响应情况；</w:t>
            </w:r>
          </w:p>
          <w:p>
            <w:pPr>
              <w:widowControl/>
              <w:numPr>
                <w:ilvl w:val="0"/>
                <w:numId w:val="2"/>
              </w:numPr>
              <w:spacing w:line="320" w:lineRule="exact"/>
              <w:jc w:val="left"/>
              <w:rPr>
                <w:rFonts w:hint="eastAsia"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“响应”：表示和招标文件的要求完全一致；“正偏离”：表示高于招标文件的要求；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r>
              <w:rPr>
                <w:rFonts w:hint="eastAsia" w:ascii="仿宋" w:hAnsi="仿宋" w:cs="宋体"/>
                <w:color w:val="auto"/>
                <w:kern w:val="0"/>
                <w:sz w:val="22"/>
                <w:szCs w:val="22"/>
                <w:lang w:val="en-US" w:eastAsia="zh-CN"/>
              </w:rPr>
              <w:t>3、</w:t>
            </w:r>
            <w:r>
              <w:rPr>
                <w:rFonts w:hint="eastAsia" w:ascii="仿宋" w:hAnsi="仿宋" w:eastAsia="仿宋" w:cs="宋体"/>
                <w:color w:val="auto"/>
                <w:kern w:val="0"/>
                <w:sz w:val="22"/>
                <w:szCs w:val="22"/>
                <w:lang w:val="en-US" w:eastAsia="zh-CN"/>
              </w:rPr>
              <w:t>不允许存在负偏离的情况。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4"/>
            <w:vAlign w:val="bottom"/>
          </w:tcPr>
          <w:p>
            <w:pPr>
              <w:bidi w:val="0"/>
              <w:rPr>
                <w:sz w:val="28"/>
                <w:szCs w:val="28"/>
              </w:rPr>
            </w:pPr>
            <w:r>
              <w:rPr>
                <w:rFonts w:hint="eastAsia"/>
                <w:sz w:val="28"/>
                <w:szCs w:val="28"/>
              </w:rPr>
              <w:t xml:space="preserve">投标人代表签字： </w:t>
            </w:r>
            <w:r>
              <w:rPr>
                <w:rFonts w:hint="default"/>
                <w:sz w:val="28"/>
                <w:szCs w:val="28"/>
              </w:rPr>
              <w:t xml:space="preserve">                    </w:t>
            </w:r>
          </w:p>
        </w:tc>
      </w:tr>
    </w:tbl>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rPr>
      </w:pPr>
      <w:r>
        <w:rPr>
          <w:rFonts w:hint="eastAsia"/>
        </w:rPr>
        <w:br w:type="page"/>
      </w:r>
    </w:p>
    <w:p>
      <w:pPr>
        <w:bidi w:val="0"/>
        <w:rPr>
          <w:rFonts w:hint="eastAsia"/>
          <w:lang w:eastAsia="zh-CN"/>
        </w:rPr>
      </w:pPr>
      <w:r>
        <w:rPr>
          <w:rFonts w:hint="eastAsia"/>
          <w:lang w:eastAsia="zh-CN"/>
        </w:rPr>
        <w:t>封面</w:t>
      </w:r>
    </w:p>
    <w:p>
      <w:pPr>
        <w:bidi w:val="0"/>
        <w:ind w:left="2240" w:hanging="2240" w:hangingChars="800"/>
        <w:rPr>
          <w:rFonts w:hint="eastAsia"/>
          <w:lang w:val="en-US" w:eastAsia="zh-CN"/>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p>
    <w:p>
      <w:pPr>
        <w:bidi w:val="0"/>
        <w:ind w:left="8986" w:leftChars="800" w:hanging="6746" w:hangingChars="600"/>
        <w:rPr>
          <w:rFonts w:hint="eastAsia"/>
          <w:b/>
          <w:bCs/>
        </w:rPr>
      </w:pPr>
      <w:bookmarkStart w:id="201" w:name="_Toc14860_WPSOffice_Level1"/>
      <w:bookmarkStart w:id="202" w:name="_Toc7586_WPSOffice_Level1"/>
      <w:bookmarkStart w:id="203" w:name="_Toc22157_WPSOffice_Level1"/>
      <w:bookmarkStart w:id="204" w:name="_Toc3916_WPSOffice_Level1"/>
      <w:bookmarkStart w:id="205" w:name="_Toc27840_WPSOffice_Level1"/>
      <w:bookmarkStart w:id="206" w:name="_Toc21164_WPSOffice_Level1"/>
      <w:bookmarkStart w:id="207" w:name="_Toc28855_WPSOffice_Level1"/>
      <w:bookmarkStart w:id="208" w:name="_Toc31517_WPSOffice_Level1"/>
      <w:bookmarkStart w:id="209" w:name="_Toc5226_WPSOffice_Level1"/>
      <w:bookmarkStart w:id="210" w:name="_Toc17336_WPSOffice_Level1"/>
      <w:r>
        <w:rPr>
          <w:rFonts w:hint="eastAsia"/>
          <w:b/>
          <w:bCs/>
          <w:sz w:val="112"/>
          <w:szCs w:val="112"/>
        </w:rPr>
        <w:t xml:space="preserve">投 标 文 </w:t>
      </w:r>
      <w:r>
        <w:rPr>
          <w:rFonts w:hint="eastAsia"/>
          <w:b/>
          <w:bCs/>
          <w:sz w:val="112"/>
          <w:szCs w:val="112"/>
          <w:lang w:eastAsia="zh-CN"/>
        </w:rPr>
        <w:t>件</w:t>
      </w:r>
      <w:bookmarkEnd w:id="201"/>
      <w:bookmarkEnd w:id="202"/>
      <w:bookmarkEnd w:id="203"/>
      <w:bookmarkEnd w:id="204"/>
      <w:bookmarkEnd w:id="205"/>
      <w:bookmarkEnd w:id="206"/>
      <w:bookmarkEnd w:id="207"/>
      <w:bookmarkEnd w:id="208"/>
      <w:bookmarkEnd w:id="209"/>
      <w:bookmarkEnd w:id="210"/>
      <w:r>
        <w:rPr>
          <w:rFonts w:hint="eastAsia"/>
          <w:b/>
          <w:bCs/>
          <w:sz w:val="112"/>
          <w:szCs w:val="112"/>
          <w:lang w:val="en-US" w:eastAsia="zh-CN"/>
        </w:rPr>
        <w:t xml:space="preserve"> </w:t>
      </w:r>
      <w:r>
        <w:rPr>
          <w:rFonts w:hint="eastAsia"/>
          <w:b/>
          <w:bCs/>
          <w:lang w:val="en-US" w:eastAsia="zh-CN"/>
        </w:rPr>
        <w:t xml:space="preserve">                                                                                        </w:t>
      </w:r>
    </w:p>
    <w:p>
      <w:pPr>
        <w:bidi w:val="0"/>
        <w:ind w:left="3360" w:leftChars="1200" w:firstLine="281" w:firstLineChars="100"/>
        <w:rPr>
          <w:rFonts w:hint="eastAsia"/>
          <w:b/>
          <w:bCs/>
          <w:lang w:eastAsia="zh-CN"/>
        </w:rPr>
      </w:pPr>
    </w:p>
    <w:p>
      <w:pPr>
        <w:bidi w:val="0"/>
        <w:ind w:left="3360" w:leftChars="1200" w:firstLine="281" w:firstLineChars="100"/>
        <w:rPr>
          <w:rFonts w:hint="eastAsia"/>
          <w:b/>
          <w:bCs/>
          <w:lang w:eastAsia="zh-CN"/>
        </w:rPr>
      </w:pPr>
    </w:p>
    <w:p>
      <w:pPr>
        <w:bidi w:val="0"/>
        <w:ind w:left="3360" w:leftChars="1200" w:firstLine="281" w:firstLineChars="100"/>
        <w:rPr>
          <w:rFonts w:hint="eastAsia"/>
          <w:b/>
          <w:bCs/>
          <w:lang w:eastAsia="zh-CN"/>
        </w:rPr>
      </w:pPr>
    </w:p>
    <w:p>
      <w:pPr>
        <w:bidi w:val="0"/>
        <w:ind w:left="3360" w:leftChars="1200" w:firstLine="361" w:firstLineChars="100"/>
        <w:rPr>
          <w:rFonts w:hint="eastAsia"/>
          <w:b/>
          <w:bCs/>
          <w:sz w:val="36"/>
          <w:szCs w:val="36"/>
          <w:lang w:eastAsia="zh-CN"/>
        </w:rPr>
      </w:pPr>
      <w:bookmarkStart w:id="211" w:name="_Toc31932_WPSOffice_Level1"/>
      <w:bookmarkStart w:id="212" w:name="_Toc28522_WPSOffice_Level1"/>
      <w:bookmarkStart w:id="213" w:name="_Toc26265_WPSOffice_Level1"/>
      <w:bookmarkStart w:id="214" w:name="_Toc5931_WPSOffice_Level1"/>
      <w:bookmarkStart w:id="215" w:name="_Toc8732_WPSOffice_Level1"/>
      <w:bookmarkStart w:id="216" w:name="_Toc24602_WPSOffice_Level1"/>
      <w:bookmarkStart w:id="217" w:name="_Toc3317_WPSOffice_Level1"/>
      <w:bookmarkStart w:id="218" w:name="_Toc28184_WPSOffice_Level1"/>
      <w:bookmarkStart w:id="219" w:name="_Toc4599_WPSOffice_Level1"/>
      <w:bookmarkStart w:id="220" w:name="_Toc3406_WPSOffice_Level1"/>
      <w:r>
        <w:rPr>
          <w:rFonts w:hint="eastAsia"/>
          <w:b/>
          <w:bCs/>
          <w:sz w:val="36"/>
          <w:szCs w:val="36"/>
          <w:lang w:eastAsia="zh-CN"/>
        </w:rPr>
        <w:t>经济标</w:t>
      </w:r>
      <w:r>
        <w:rPr>
          <w:rFonts w:hint="eastAsia"/>
          <w:b/>
          <w:bCs/>
          <w:sz w:val="36"/>
          <w:szCs w:val="36"/>
          <w:lang w:val="en-US" w:eastAsia="zh-CN"/>
        </w:rPr>
        <w:t xml:space="preserve">                                    </w:t>
      </w:r>
      <w:r>
        <w:rPr>
          <w:rFonts w:hint="eastAsia"/>
          <w:b/>
          <w:bCs/>
          <w:sz w:val="36"/>
          <w:szCs w:val="36"/>
        </w:rPr>
        <w:t>（正/副本）</w:t>
      </w:r>
      <w:bookmarkEnd w:id="211"/>
      <w:bookmarkEnd w:id="212"/>
      <w:bookmarkEnd w:id="213"/>
      <w:bookmarkEnd w:id="214"/>
      <w:bookmarkEnd w:id="215"/>
      <w:bookmarkEnd w:id="216"/>
      <w:bookmarkEnd w:id="217"/>
      <w:bookmarkEnd w:id="218"/>
      <w:bookmarkEnd w:id="219"/>
      <w:bookmarkEnd w:id="220"/>
      <w:r>
        <w:rPr>
          <w:rFonts w:hint="eastAsia"/>
          <w:b/>
          <w:bCs/>
          <w:sz w:val="36"/>
          <w:szCs w:val="36"/>
          <w:lang w:val="en-US" w:eastAsia="zh-CN"/>
        </w:rPr>
        <w:t xml:space="preserve">                                                                                                                    </w:t>
      </w: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firstLine="723" w:firstLineChars="200"/>
        <w:rPr>
          <w:rFonts w:hint="eastAsia"/>
          <w:b/>
          <w:bCs/>
          <w:sz w:val="36"/>
          <w:szCs w:val="36"/>
        </w:rPr>
      </w:pPr>
      <w:bookmarkStart w:id="221" w:name="_Toc18335_WPSOffice_Level1"/>
      <w:bookmarkStart w:id="222" w:name="_Toc29131_WPSOffice_Level1"/>
      <w:bookmarkStart w:id="223" w:name="_Toc27724_WPSOffice_Level1"/>
      <w:bookmarkStart w:id="224" w:name="_Toc18738_WPSOffice_Level1"/>
      <w:bookmarkStart w:id="225" w:name="_Toc15008_WPSOffice_Level1"/>
      <w:bookmarkStart w:id="226" w:name="_Toc32356_WPSOffice_Level1"/>
      <w:bookmarkStart w:id="227" w:name="_Toc17125_WPSOffice_Level1"/>
      <w:bookmarkStart w:id="228" w:name="_Toc10147_WPSOffice_Level1"/>
      <w:bookmarkStart w:id="229" w:name="_Toc24924_WPSOffice_Level1"/>
      <w:bookmarkStart w:id="230" w:name="_Toc20016_WPSOffice_Level1"/>
      <w:r>
        <w:rPr>
          <w:rFonts w:hint="eastAsia"/>
          <w:b/>
          <w:bCs/>
          <w:sz w:val="36"/>
          <w:szCs w:val="36"/>
        </w:rPr>
        <w:t>项目编号:</w:t>
      </w:r>
      <w:bookmarkEnd w:id="221"/>
      <w:bookmarkEnd w:id="222"/>
      <w:bookmarkEnd w:id="223"/>
      <w:bookmarkEnd w:id="224"/>
      <w:bookmarkEnd w:id="225"/>
      <w:bookmarkEnd w:id="226"/>
      <w:bookmarkEnd w:id="227"/>
      <w:bookmarkEnd w:id="228"/>
      <w:bookmarkEnd w:id="229"/>
      <w:bookmarkEnd w:id="230"/>
      <w:r>
        <w:rPr>
          <w:rFonts w:hint="eastAsia"/>
          <w:b/>
          <w:bCs/>
          <w:sz w:val="36"/>
          <w:szCs w:val="36"/>
        </w:rPr>
        <w:t xml:space="preserve">               </w:t>
      </w:r>
    </w:p>
    <w:p>
      <w:pPr>
        <w:bidi w:val="0"/>
        <w:ind w:firstLine="723" w:firstLineChars="200"/>
        <w:rPr>
          <w:rFonts w:hint="eastAsia"/>
          <w:b/>
          <w:bCs/>
          <w:sz w:val="36"/>
          <w:szCs w:val="36"/>
        </w:rPr>
      </w:pPr>
      <w:bookmarkStart w:id="231" w:name="_Toc24374_WPSOffice_Level1"/>
      <w:bookmarkStart w:id="232" w:name="_Toc13551_WPSOffice_Level1"/>
      <w:bookmarkStart w:id="233" w:name="_Toc6338_WPSOffice_Level1"/>
      <w:bookmarkStart w:id="234" w:name="_Toc31890_WPSOffice_Level1"/>
      <w:bookmarkStart w:id="235" w:name="_Toc20191_WPSOffice_Level1"/>
      <w:bookmarkStart w:id="236" w:name="_Toc6793_WPSOffice_Level1"/>
      <w:bookmarkStart w:id="237" w:name="_Toc19650_WPSOffice_Level1"/>
      <w:bookmarkStart w:id="238" w:name="_Toc30533_WPSOffice_Level1"/>
      <w:bookmarkStart w:id="239" w:name="_Toc7036_WPSOffice_Level1"/>
      <w:bookmarkStart w:id="240" w:name="_Toc29718_WPSOffice_Level1"/>
      <w:r>
        <w:rPr>
          <w:rFonts w:hint="eastAsia"/>
          <w:b/>
          <w:bCs/>
          <w:sz w:val="36"/>
          <w:szCs w:val="36"/>
        </w:rPr>
        <w:t>项目名称：</w:t>
      </w:r>
      <w:bookmarkEnd w:id="231"/>
      <w:bookmarkEnd w:id="232"/>
      <w:bookmarkEnd w:id="233"/>
      <w:bookmarkEnd w:id="234"/>
      <w:bookmarkEnd w:id="235"/>
      <w:bookmarkEnd w:id="236"/>
      <w:bookmarkEnd w:id="237"/>
      <w:bookmarkEnd w:id="238"/>
      <w:bookmarkEnd w:id="239"/>
      <w:bookmarkEnd w:id="240"/>
    </w:p>
    <w:p>
      <w:pPr>
        <w:bidi w:val="0"/>
        <w:ind w:firstLine="723" w:firstLineChars="200"/>
        <w:rPr>
          <w:rFonts w:hint="eastAsia"/>
          <w:b/>
          <w:bCs/>
          <w:lang w:eastAsia="zh-CN"/>
        </w:rPr>
      </w:pPr>
      <w:bookmarkStart w:id="241" w:name="_Toc6059_WPSOffice_Level1"/>
      <w:bookmarkStart w:id="242" w:name="_Toc29035_WPSOffice_Level1"/>
      <w:bookmarkStart w:id="243" w:name="_Toc24610_WPSOffice_Level1"/>
      <w:bookmarkStart w:id="244" w:name="_Toc4651_WPSOffice_Level1"/>
      <w:bookmarkStart w:id="245" w:name="_Toc13757_WPSOffice_Level1"/>
      <w:bookmarkStart w:id="246" w:name="_Toc8505_WPSOffice_Level1"/>
      <w:bookmarkStart w:id="247" w:name="_Toc29844_WPSOffice_Level1"/>
      <w:bookmarkStart w:id="248" w:name="_Toc4059_WPSOffice_Level1"/>
      <w:bookmarkStart w:id="249" w:name="_Toc25071_WPSOffice_Level1"/>
      <w:bookmarkStart w:id="250" w:name="_Toc18448_WPSOffice_Level1"/>
      <w:r>
        <w:rPr>
          <w:rFonts w:hint="eastAsia"/>
          <w:b/>
          <w:bCs/>
          <w:sz w:val="36"/>
          <w:szCs w:val="36"/>
        </w:rPr>
        <w:t>投标单位：</w:t>
      </w:r>
      <w:bookmarkEnd w:id="241"/>
      <w:bookmarkEnd w:id="242"/>
      <w:bookmarkEnd w:id="243"/>
      <w:bookmarkEnd w:id="244"/>
      <w:bookmarkEnd w:id="245"/>
      <w:bookmarkEnd w:id="246"/>
      <w:bookmarkEnd w:id="247"/>
      <w:bookmarkEnd w:id="248"/>
      <w:bookmarkEnd w:id="249"/>
      <w:bookmarkEnd w:id="250"/>
      <w:r>
        <w:rPr>
          <w:rFonts w:hint="eastAsia"/>
          <w:b/>
          <w:bCs/>
          <w:sz w:val="36"/>
          <w:szCs w:val="36"/>
          <w:lang w:eastAsia="zh-CN"/>
        </w:rPr>
        <w:br w:type="page"/>
      </w:r>
    </w:p>
    <w:p>
      <w:pPr>
        <w:bidi w:val="0"/>
        <w:ind w:left="1120" w:leftChars="200" w:hanging="560" w:hangingChars="200"/>
        <w:rPr>
          <w:rFonts w:hint="eastAsia"/>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r>
        <w:rPr>
          <w:rFonts w:hint="eastAsia"/>
          <w:b/>
          <w:bCs/>
          <w:sz w:val="112"/>
          <w:szCs w:val="112"/>
        </w:rPr>
        <w:t xml:space="preserve">投 标 文 </w:t>
      </w:r>
      <w:r>
        <w:rPr>
          <w:rFonts w:hint="eastAsia"/>
          <w:b/>
          <w:bCs/>
          <w:sz w:val="112"/>
          <w:szCs w:val="112"/>
          <w:lang w:eastAsia="zh-CN"/>
        </w:rPr>
        <w:t>件</w:t>
      </w:r>
      <w:r>
        <w:rPr>
          <w:rFonts w:hint="eastAsia"/>
          <w:sz w:val="112"/>
          <w:szCs w:val="112"/>
          <w:lang w:val="en-US" w:eastAsia="zh-CN"/>
        </w:rPr>
        <w:t xml:space="preserve"> </w:t>
      </w:r>
      <w:r>
        <w:rPr>
          <w:rFonts w:hint="eastAsia"/>
          <w:lang w:val="en-US" w:eastAsia="zh-CN"/>
        </w:rPr>
        <w:t xml:space="preserve">                                                                                        </w:t>
      </w:r>
    </w:p>
    <w:p>
      <w:pPr>
        <w:bidi w:val="0"/>
        <w:ind w:left="3640" w:leftChars="1300" w:firstLine="6160" w:firstLineChars="2200"/>
        <w:rPr>
          <w:rFonts w:hint="eastAsia"/>
          <w:lang w:val="en-US" w:eastAsia="zh-CN"/>
        </w:rPr>
      </w:pPr>
      <w:r>
        <w:rPr>
          <w:rFonts w:hint="eastAsia"/>
          <w:lang w:val="en-US" w:eastAsia="zh-CN"/>
        </w:rPr>
        <w:t xml:space="preserve"> </w:t>
      </w: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7951" w:firstLineChars="2200"/>
        <w:rPr>
          <w:rFonts w:hint="eastAsia"/>
          <w:b/>
          <w:bCs/>
          <w:sz w:val="36"/>
          <w:szCs w:val="36"/>
        </w:rPr>
      </w:pPr>
      <w:bookmarkStart w:id="251" w:name="_Toc2743_WPSOffice_Level1"/>
      <w:bookmarkStart w:id="252" w:name="_Toc8948_WPSOffice_Level1"/>
      <w:bookmarkStart w:id="253" w:name="_Toc22882_WPSOffice_Level1"/>
      <w:bookmarkStart w:id="254" w:name="_Toc27444_WPSOffice_Level1"/>
      <w:bookmarkStart w:id="255" w:name="_Toc17560_WPSOffice_Level1"/>
      <w:bookmarkStart w:id="256" w:name="_Toc30386_WPSOffice_Level1"/>
      <w:bookmarkStart w:id="257" w:name="_Toc19122_WPSOffice_Level1"/>
      <w:bookmarkStart w:id="258" w:name="_Toc14490_WPSOffice_Level1"/>
      <w:bookmarkStart w:id="259" w:name="_Toc21714_WPSOffice_Level1"/>
      <w:bookmarkStart w:id="260" w:name="_Toc28064_WPSOffice_Level1"/>
      <w:r>
        <w:rPr>
          <w:rFonts w:hint="eastAsia"/>
          <w:b/>
          <w:bCs/>
          <w:sz w:val="36"/>
          <w:szCs w:val="36"/>
          <w:lang w:eastAsia="zh-CN"/>
        </w:rPr>
        <w:t>商商务技术标</w:t>
      </w:r>
      <w:r>
        <w:rPr>
          <w:rFonts w:hint="eastAsia"/>
          <w:b/>
          <w:bCs/>
          <w:sz w:val="36"/>
          <w:szCs w:val="36"/>
          <w:lang w:val="en-US" w:eastAsia="zh-CN"/>
        </w:rPr>
        <w:t xml:space="preserve">                                    </w:t>
      </w:r>
      <w:r>
        <w:rPr>
          <w:rFonts w:hint="eastAsia"/>
          <w:b/>
          <w:bCs/>
          <w:sz w:val="36"/>
          <w:szCs w:val="36"/>
        </w:rPr>
        <w:t>（正/副本）</w:t>
      </w:r>
      <w:bookmarkEnd w:id="251"/>
      <w:bookmarkEnd w:id="252"/>
      <w:bookmarkEnd w:id="253"/>
      <w:bookmarkEnd w:id="254"/>
      <w:bookmarkEnd w:id="255"/>
      <w:bookmarkEnd w:id="256"/>
      <w:bookmarkEnd w:id="257"/>
      <w:bookmarkEnd w:id="258"/>
      <w:bookmarkEnd w:id="259"/>
      <w:bookmarkEnd w:id="260"/>
      <w:r>
        <w:rPr>
          <w:rFonts w:hint="eastAsia"/>
          <w:b/>
          <w:bCs/>
          <w:sz w:val="36"/>
          <w:szCs w:val="36"/>
          <w:lang w:val="en-US" w:eastAsia="zh-CN"/>
        </w:rPr>
        <w:t xml:space="preserve"> </w:t>
      </w:r>
    </w:p>
    <w:p>
      <w:pPr>
        <w:bidi w:val="0"/>
        <w:ind w:left="3360" w:leftChars="1200" w:firstLine="361" w:firstLineChars="100"/>
        <w:rPr>
          <w:rFonts w:hint="default"/>
          <w:b/>
          <w:bCs/>
          <w:sz w:val="36"/>
          <w:szCs w:val="36"/>
          <w:lang w:val="en-US" w:eastAsia="zh-CN"/>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bookmarkStart w:id="261" w:name="_Toc12594_WPSOffice_Level1"/>
      <w:bookmarkStart w:id="262" w:name="_Toc19830_WPSOffice_Level1"/>
      <w:bookmarkStart w:id="263" w:name="_Toc28496_WPSOffice_Level1"/>
      <w:bookmarkStart w:id="264" w:name="_Toc7957_WPSOffice_Level1"/>
      <w:bookmarkStart w:id="265" w:name="_Toc26801_WPSOffice_Level1"/>
      <w:bookmarkStart w:id="266" w:name="_Toc22567_WPSOffice_Level1"/>
      <w:bookmarkStart w:id="267" w:name="_Toc26123_WPSOffice_Level1"/>
      <w:bookmarkStart w:id="268" w:name="_Toc10526_WPSOffice_Level1"/>
      <w:bookmarkStart w:id="269" w:name="_Toc20792_WPSOffice_Level1"/>
      <w:bookmarkStart w:id="270" w:name="_Toc8035_WPSOffice_Level1"/>
      <w:r>
        <w:rPr>
          <w:rFonts w:hint="eastAsia"/>
          <w:b/>
          <w:bCs/>
          <w:sz w:val="36"/>
          <w:szCs w:val="36"/>
        </w:rPr>
        <w:t>项目编号:</w:t>
      </w:r>
      <w:bookmarkEnd w:id="261"/>
      <w:bookmarkEnd w:id="262"/>
      <w:bookmarkEnd w:id="263"/>
      <w:bookmarkEnd w:id="264"/>
      <w:bookmarkEnd w:id="265"/>
      <w:bookmarkEnd w:id="266"/>
      <w:bookmarkEnd w:id="267"/>
      <w:bookmarkEnd w:id="268"/>
      <w:bookmarkEnd w:id="269"/>
      <w:bookmarkEnd w:id="270"/>
      <w:r>
        <w:rPr>
          <w:rFonts w:hint="eastAsia"/>
          <w:b/>
          <w:bCs/>
          <w:sz w:val="36"/>
          <w:szCs w:val="36"/>
        </w:rPr>
        <w:t xml:space="preserve">               </w:t>
      </w:r>
    </w:p>
    <w:p>
      <w:pPr>
        <w:bidi w:val="0"/>
        <w:ind w:firstLine="723" w:firstLineChars="200"/>
        <w:rPr>
          <w:rFonts w:hint="eastAsia"/>
          <w:b/>
          <w:bCs/>
          <w:sz w:val="36"/>
          <w:szCs w:val="36"/>
        </w:rPr>
      </w:pPr>
      <w:bookmarkStart w:id="271" w:name="_Toc8030_WPSOffice_Level1"/>
      <w:bookmarkStart w:id="272" w:name="_Toc9337_WPSOffice_Level1"/>
      <w:bookmarkStart w:id="273" w:name="_Toc24641_WPSOffice_Level1"/>
      <w:bookmarkStart w:id="274" w:name="_Toc28268_WPSOffice_Level1"/>
      <w:bookmarkStart w:id="275" w:name="_Toc10890_WPSOffice_Level1"/>
      <w:bookmarkStart w:id="276" w:name="_Toc7168_WPSOffice_Level1"/>
      <w:bookmarkStart w:id="277" w:name="_Toc1551_WPSOffice_Level1"/>
      <w:bookmarkStart w:id="278" w:name="_Toc25178_WPSOffice_Level1"/>
      <w:bookmarkStart w:id="279" w:name="_Toc8679_WPSOffice_Level1"/>
      <w:bookmarkStart w:id="280" w:name="_Toc25354_WPSOffice_Level1"/>
      <w:r>
        <w:rPr>
          <w:rFonts w:hint="eastAsia"/>
          <w:b/>
          <w:bCs/>
          <w:sz w:val="36"/>
          <w:szCs w:val="36"/>
        </w:rPr>
        <w:t>项目名称：</w:t>
      </w:r>
      <w:bookmarkEnd w:id="271"/>
      <w:bookmarkEnd w:id="272"/>
      <w:bookmarkEnd w:id="273"/>
      <w:bookmarkEnd w:id="274"/>
      <w:bookmarkEnd w:id="275"/>
      <w:bookmarkEnd w:id="276"/>
      <w:bookmarkEnd w:id="277"/>
      <w:bookmarkEnd w:id="278"/>
      <w:bookmarkEnd w:id="279"/>
      <w:bookmarkEnd w:id="280"/>
    </w:p>
    <w:p>
      <w:pPr>
        <w:bidi w:val="0"/>
        <w:ind w:firstLine="723" w:firstLineChars="200"/>
        <w:rPr>
          <w:rFonts w:hint="eastAsia"/>
          <w:b/>
          <w:bCs/>
          <w:sz w:val="36"/>
          <w:szCs w:val="36"/>
        </w:rPr>
      </w:pPr>
      <w:bookmarkStart w:id="281" w:name="_Toc5262_WPSOffice_Level1"/>
      <w:bookmarkStart w:id="282" w:name="_Toc4185_WPSOffice_Level1"/>
      <w:bookmarkStart w:id="283" w:name="_Toc30668_WPSOffice_Level1"/>
      <w:bookmarkStart w:id="284" w:name="_Toc24517_WPSOffice_Level1"/>
      <w:bookmarkStart w:id="285" w:name="_Toc2062_WPSOffice_Level1"/>
      <w:bookmarkStart w:id="286" w:name="_Toc18059_WPSOffice_Level1"/>
      <w:bookmarkStart w:id="287" w:name="_Toc25276_WPSOffice_Level1"/>
      <w:bookmarkStart w:id="288" w:name="_Toc3878_WPSOffice_Level1"/>
      <w:bookmarkStart w:id="289" w:name="_Toc22551_WPSOffice_Level1"/>
      <w:bookmarkStart w:id="290" w:name="_Toc22183_WPSOffice_Level1"/>
      <w:r>
        <w:rPr>
          <w:rFonts w:hint="eastAsia"/>
          <w:b/>
          <w:bCs/>
          <w:sz w:val="36"/>
          <w:szCs w:val="36"/>
        </w:rPr>
        <w:t>投标单位：</w:t>
      </w:r>
      <w:bookmarkEnd w:id="281"/>
      <w:bookmarkEnd w:id="282"/>
      <w:bookmarkEnd w:id="283"/>
      <w:bookmarkEnd w:id="284"/>
      <w:bookmarkEnd w:id="285"/>
      <w:bookmarkEnd w:id="286"/>
      <w:bookmarkEnd w:id="287"/>
      <w:bookmarkEnd w:id="288"/>
      <w:bookmarkEnd w:id="289"/>
      <w:bookmarkEnd w:id="290"/>
      <w:r>
        <w:rPr>
          <w:rFonts w:hint="eastAsia"/>
          <w:b/>
          <w:bCs/>
          <w:sz w:val="36"/>
          <w:szCs w:val="36"/>
        </w:rPr>
        <w:t xml:space="preserve">         </w:t>
      </w:r>
    </w:p>
    <w:sectPr>
      <w:pgSz w:w="11906" w:h="16838"/>
      <w:pgMar w:top="1134" w:right="851"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Boton Pro Regular">
    <w:altName w:val="宋体"/>
    <w:panose1 w:val="00000000000000000000"/>
    <w:charset w:val="86"/>
    <w:family w:val="roma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rect id="文本框3" o:spid="_x0000_s2056" o:spt="1" style="position:absolute;left:0pt;height:144pt;width:144pt;mso-position-horizontal:center;mso-position-horizontal-relative:margin;mso-position-vertical:top;mso-wrap-style:none;z-index:251662336;mso-width-relative:page;mso-height-relative:page;" filled="f" stroked="f" coordsize="21600,21600">
          <v:path/>
          <v:fill on="f" focussize="0,0"/>
          <v:stroke on="f"/>
          <v:imagedata o:title=""/>
          <o:lock v:ext="edit"/>
          <v:textbox inset="0mm,0mm,0mm,0mm" style="mso-fit-shape-to-text:t;">
            <w:txbxContent>
              <w:p>
                <w:pPr>
                  <w:pStyle w:val="10"/>
                  <w:rPr>
                    <w:rStyle w:val="30"/>
                  </w:rPr>
                </w:pPr>
                <w:r>
                  <w:fldChar w:fldCharType="begin"/>
                </w:r>
                <w:r>
                  <w:rPr>
                    <w:rStyle w:val="30"/>
                  </w:rPr>
                  <w:instrText xml:space="preserve">PAGE  </w:instrText>
                </w:r>
                <w:r>
                  <w:fldChar w:fldCharType="separate"/>
                </w:r>
                <w:r>
                  <w:rPr>
                    <w:rStyle w:val="30"/>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D23AD"/>
    <w:multiLevelType w:val="singleLevel"/>
    <w:tmpl w:val="DDDD23AD"/>
    <w:lvl w:ilvl="0" w:tentative="0">
      <w:start w:val="2"/>
      <w:numFmt w:val="decimal"/>
      <w:suff w:val="nothing"/>
      <w:lvlText w:val="%1、"/>
      <w:lvlJc w:val="left"/>
    </w:lvl>
  </w:abstractNum>
  <w:abstractNum w:abstractNumId="1">
    <w:nsid w:val="00000008"/>
    <w:multiLevelType w:val="singleLevel"/>
    <w:tmpl w:val="00000008"/>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2D724F8"/>
    <w:rsid w:val="030D0F4C"/>
    <w:rsid w:val="039558C5"/>
    <w:rsid w:val="03974805"/>
    <w:rsid w:val="03F8756D"/>
    <w:rsid w:val="04640A95"/>
    <w:rsid w:val="0468333B"/>
    <w:rsid w:val="04685C77"/>
    <w:rsid w:val="049D65CE"/>
    <w:rsid w:val="04EE55F7"/>
    <w:rsid w:val="05004B89"/>
    <w:rsid w:val="054139D5"/>
    <w:rsid w:val="055C050A"/>
    <w:rsid w:val="055D1DB9"/>
    <w:rsid w:val="059B6498"/>
    <w:rsid w:val="05E1394C"/>
    <w:rsid w:val="05F475FA"/>
    <w:rsid w:val="060F0C94"/>
    <w:rsid w:val="065366CF"/>
    <w:rsid w:val="06643231"/>
    <w:rsid w:val="07233C09"/>
    <w:rsid w:val="07307778"/>
    <w:rsid w:val="07332330"/>
    <w:rsid w:val="079F2679"/>
    <w:rsid w:val="0872687C"/>
    <w:rsid w:val="088255B9"/>
    <w:rsid w:val="08CC0EDE"/>
    <w:rsid w:val="090D7165"/>
    <w:rsid w:val="0932436A"/>
    <w:rsid w:val="09AB69FE"/>
    <w:rsid w:val="0A606DA8"/>
    <w:rsid w:val="0A6B7FEE"/>
    <w:rsid w:val="0A812728"/>
    <w:rsid w:val="0B926A1C"/>
    <w:rsid w:val="0BBD5761"/>
    <w:rsid w:val="0BC84F5C"/>
    <w:rsid w:val="0C7362F4"/>
    <w:rsid w:val="0CE172DD"/>
    <w:rsid w:val="0CEF43B2"/>
    <w:rsid w:val="0D8E72C1"/>
    <w:rsid w:val="0DC341DA"/>
    <w:rsid w:val="0DC86E94"/>
    <w:rsid w:val="0DD101B3"/>
    <w:rsid w:val="0E607469"/>
    <w:rsid w:val="0EA60085"/>
    <w:rsid w:val="0EB66663"/>
    <w:rsid w:val="0F9B4EF3"/>
    <w:rsid w:val="0FE60E94"/>
    <w:rsid w:val="101F6A47"/>
    <w:rsid w:val="10845CC2"/>
    <w:rsid w:val="114408D6"/>
    <w:rsid w:val="119806E1"/>
    <w:rsid w:val="12143D4D"/>
    <w:rsid w:val="12C51F3F"/>
    <w:rsid w:val="13025CC8"/>
    <w:rsid w:val="134F005D"/>
    <w:rsid w:val="14410F20"/>
    <w:rsid w:val="14BB6B21"/>
    <w:rsid w:val="15012975"/>
    <w:rsid w:val="1541312E"/>
    <w:rsid w:val="15E222FE"/>
    <w:rsid w:val="1609147A"/>
    <w:rsid w:val="166243DE"/>
    <w:rsid w:val="16BB27B7"/>
    <w:rsid w:val="16C01FEE"/>
    <w:rsid w:val="17035651"/>
    <w:rsid w:val="17575D5A"/>
    <w:rsid w:val="17B7413C"/>
    <w:rsid w:val="180835D2"/>
    <w:rsid w:val="180C512F"/>
    <w:rsid w:val="18196050"/>
    <w:rsid w:val="181B01C9"/>
    <w:rsid w:val="19596934"/>
    <w:rsid w:val="19787A20"/>
    <w:rsid w:val="198F1124"/>
    <w:rsid w:val="1A201AA4"/>
    <w:rsid w:val="1A9E71C1"/>
    <w:rsid w:val="1AAA63D8"/>
    <w:rsid w:val="1B153FCD"/>
    <w:rsid w:val="1B4F53F6"/>
    <w:rsid w:val="1B52178B"/>
    <w:rsid w:val="1BEE0C96"/>
    <w:rsid w:val="1C940889"/>
    <w:rsid w:val="1CD37B2F"/>
    <w:rsid w:val="1D50414D"/>
    <w:rsid w:val="1D60741A"/>
    <w:rsid w:val="1D9A2486"/>
    <w:rsid w:val="1DA3419C"/>
    <w:rsid w:val="1E2962FF"/>
    <w:rsid w:val="1EF7706B"/>
    <w:rsid w:val="1EFD2505"/>
    <w:rsid w:val="1FA3217C"/>
    <w:rsid w:val="1FEA1276"/>
    <w:rsid w:val="2007671F"/>
    <w:rsid w:val="202F3A23"/>
    <w:rsid w:val="20B80A53"/>
    <w:rsid w:val="20E40382"/>
    <w:rsid w:val="21427122"/>
    <w:rsid w:val="216743A8"/>
    <w:rsid w:val="216948B6"/>
    <w:rsid w:val="21D2041D"/>
    <w:rsid w:val="22D41753"/>
    <w:rsid w:val="232B7240"/>
    <w:rsid w:val="239205B0"/>
    <w:rsid w:val="23AA1A4B"/>
    <w:rsid w:val="23DC5FE7"/>
    <w:rsid w:val="24173588"/>
    <w:rsid w:val="24657CF5"/>
    <w:rsid w:val="2488402E"/>
    <w:rsid w:val="2587525C"/>
    <w:rsid w:val="26306655"/>
    <w:rsid w:val="2681368A"/>
    <w:rsid w:val="27F746E7"/>
    <w:rsid w:val="285D73B3"/>
    <w:rsid w:val="286A790B"/>
    <w:rsid w:val="29310F28"/>
    <w:rsid w:val="29E25110"/>
    <w:rsid w:val="29EE5067"/>
    <w:rsid w:val="2A0D08BF"/>
    <w:rsid w:val="2A8D0508"/>
    <w:rsid w:val="2A93451A"/>
    <w:rsid w:val="2B924A8B"/>
    <w:rsid w:val="2C1504A4"/>
    <w:rsid w:val="2C4507BC"/>
    <w:rsid w:val="2C5C77D5"/>
    <w:rsid w:val="2D3A3C24"/>
    <w:rsid w:val="2D695C3B"/>
    <w:rsid w:val="2D9E12A2"/>
    <w:rsid w:val="2DDE3737"/>
    <w:rsid w:val="2DF1289B"/>
    <w:rsid w:val="2E7A53FB"/>
    <w:rsid w:val="2EBB52EC"/>
    <w:rsid w:val="2F744C02"/>
    <w:rsid w:val="310E4C7B"/>
    <w:rsid w:val="31B90149"/>
    <w:rsid w:val="31E715FC"/>
    <w:rsid w:val="3258415E"/>
    <w:rsid w:val="340B00EB"/>
    <w:rsid w:val="34DE456D"/>
    <w:rsid w:val="352670FF"/>
    <w:rsid w:val="35805AD0"/>
    <w:rsid w:val="36103408"/>
    <w:rsid w:val="362D7893"/>
    <w:rsid w:val="3664201C"/>
    <w:rsid w:val="36E026E6"/>
    <w:rsid w:val="370C255A"/>
    <w:rsid w:val="37651003"/>
    <w:rsid w:val="37853D1B"/>
    <w:rsid w:val="37D958F4"/>
    <w:rsid w:val="388970D0"/>
    <w:rsid w:val="38936FC1"/>
    <w:rsid w:val="397D0197"/>
    <w:rsid w:val="3B90403E"/>
    <w:rsid w:val="3C392EC2"/>
    <w:rsid w:val="3C91665F"/>
    <w:rsid w:val="3CD220ED"/>
    <w:rsid w:val="3D9376F4"/>
    <w:rsid w:val="3DFD71B1"/>
    <w:rsid w:val="3E3A4E72"/>
    <w:rsid w:val="3EA331AE"/>
    <w:rsid w:val="3F252B46"/>
    <w:rsid w:val="3FB23D4E"/>
    <w:rsid w:val="3FB374C3"/>
    <w:rsid w:val="3FEF4151"/>
    <w:rsid w:val="401A64A7"/>
    <w:rsid w:val="405325B9"/>
    <w:rsid w:val="407C2889"/>
    <w:rsid w:val="41F070F1"/>
    <w:rsid w:val="430D6DF3"/>
    <w:rsid w:val="4325767B"/>
    <w:rsid w:val="43DC2D14"/>
    <w:rsid w:val="444608F4"/>
    <w:rsid w:val="44562050"/>
    <w:rsid w:val="44B76B15"/>
    <w:rsid w:val="450B18CE"/>
    <w:rsid w:val="45505A12"/>
    <w:rsid w:val="465B3604"/>
    <w:rsid w:val="46823751"/>
    <w:rsid w:val="46BA2089"/>
    <w:rsid w:val="471962C8"/>
    <w:rsid w:val="478D4D61"/>
    <w:rsid w:val="47B413D5"/>
    <w:rsid w:val="47C47560"/>
    <w:rsid w:val="481E21F3"/>
    <w:rsid w:val="483025F1"/>
    <w:rsid w:val="48393B90"/>
    <w:rsid w:val="485D15FE"/>
    <w:rsid w:val="497449A3"/>
    <w:rsid w:val="49821AAC"/>
    <w:rsid w:val="49DF5A33"/>
    <w:rsid w:val="49E257C2"/>
    <w:rsid w:val="4A151B83"/>
    <w:rsid w:val="4A7F24B3"/>
    <w:rsid w:val="4B215591"/>
    <w:rsid w:val="4B556624"/>
    <w:rsid w:val="4B576F03"/>
    <w:rsid w:val="4B6E395C"/>
    <w:rsid w:val="4BB66747"/>
    <w:rsid w:val="4C50582D"/>
    <w:rsid w:val="4C9A1240"/>
    <w:rsid w:val="4DAC72A7"/>
    <w:rsid w:val="4DBA4EA0"/>
    <w:rsid w:val="4EA55F14"/>
    <w:rsid w:val="4EC306A1"/>
    <w:rsid w:val="4ED224AA"/>
    <w:rsid w:val="4F356920"/>
    <w:rsid w:val="4F8004DC"/>
    <w:rsid w:val="501C70C0"/>
    <w:rsid w:val="5083485B"/>
    <w:rsid w:val="51302629"/>
    <w:rsid w:val="515E223D"/>
    <w:rsid w:val="518C2DF2"/>
    <w:rsid w:val="51AD1B2A"/>
    <w:rsid w:val="523C25F9"/>
    <w:rsid w:val="52523ED6"/>
    <w:rsid w:val="52A61DB8"/>
    <w:rsid w:val="52B84408"/>
    <w:rsid w:val="53580066"/>
    <w:rsid w:val="539B1BE0"/>
    <w:rsid w:val="53AB7175"/>
    <w:rsid w:val="54652463"/>
    <w:rsid w:val="547D2C9B"/>
    <w:rsid w:val="550132F8"/>
    <w:rsid w:val="55175C8A"/>
    <w:rsid w:val="55F048E8"/>
    <w:rsid w:val="56815419"/>
    <w:rsid w:val="580809AA"/>
    <w:rsid w:val="5821709C"/>
    <w:rsid w:val="582C3D67"/>
    <w:rsid w:val="589C4ED4"/>
    <w:rsid w:val="594E613A"/>
    <w:rsid w:val="597862A0"/>
    <w:rsid w:val="59CF2F52"/>
    <w:rsid w:val="59EC657C"/>
    <w:rsid w:val="59F61F30"/>
    <w:rsid w:val="5A777C22"/>
    <w:rsid w:val="5AA17217"/>
    <w:rsid w:val="5AB62AC2"/>
    <w:rsid w:val="5AB85862"/>
    <w:rsid w:val="5B1800E7"/>
    <w:rsid w:val="5B314BA3"/>
    <w:rsid w:val="5B460CBA"/>
    <w:rsid w:val="5B57060D"/>
    <w:rsid w:val="5BAC57C2"/>
    <w:rsid w:val="5BD95D10"/>
    <w:rsid w:val="5C3F4DAC"/>
    <w:rsid w:val="5C5D143C"/>
    <w:rsid w:val="5C6A199B"/>
    <w:rsid w:val="5CEC3C6D"/>
    <w:rsid w:val="5E060404"/>
    <w:rsid w:val="5E3C329E"/>
    <w:rsid w:val="5E6742C5"/>
    <w:rsid w:val="5E7E55B8"/>
    <w:rsid w:val="5EA9228F"/>
    <w:rsid w:val="5EBD13DC"/>
    <w:rsid w:val="5EE66AA3"/>
    <w:rsid w:val="601B4F10"/>
    <w:rsid w:val="611158A9"/>
    <w:rsid w:val="611E08BB"/>
    <w:rsid w:val="615B59FC"/>
    <w:rsid w:val="616D4792"/>
    <w:rsid w:val="61FD1B26"/>
    <w:rsid w:val="622B3F75"/>
    <w:rsid w:val="627B249C"/>
    <w:rsid w:val="62C96974"/>
    <w:rsid w:val="62F04D72"/>
    <w:rsid w:val="63B21E2B"/>
    <w:rsid w:val="64641ABA"/>
    <w:rsid w:val="651836DA"/>
    <w:rsid w:val="65805039"/>
    <w:rsid w:val="65B923AD"/>
    <w:rsid w:val="65F1358A"/>
    <w:rsid w:val="663078A9"/>
    <w:rsid w:val="66D82351"/>
    <w:rsid w:val="66DB6B37"/>
    <w:rsid w:val="675651DF"/>
    <w:rsid w:val="675A5C35"/>
    <w:rsid w:val="67A75407"/>
    <w:rsid w:val="67BF54B5"/>
    <w:rsid w:val="68201164"/>
    <w:rsid w:val="684A0689"/>
    <w:rsid w:val="684C11C2"/>
    <w:rsid w:val="6854705E"/>
    <w:rsid w:val="685B4AD3"/>
    <w:rsid w:val="68937571"/>
    <w:rsid w:val="68DF09F0"/>
    <w:rsid w:val="68F533A7"/>
    <w:rsid w:val="68FA10D0"/>
    <w:rsid w:val="69107EF2"/>
    <w:rsid w:val="69C842C7"/>
    <w:rsid w:val="6A175882"/>
    <w:rsid w:val="6A537E7C"/>
    <w:rsid w:val="6A5F6F62"/>
    <w:rsid w:val="6B29790C"/>
    <w:rsid w:val="6B4C6288"/>
    <w:rsid w:val="6B785036"/>
    <w:rsid w:val="6BA945DB"/>
    <w:rsid w:val="6BB12C30"/>
    <w:rsid w:val="6BBA715D"/>
    <w:rsid w:val="6C5238E7"/>
    <w:rsid w:val="6C770F56"/>
    <w:rsid w:val="6CDF3E59"/>
    <w:rsid w:val="6D552519"/>
    <w:rsid w:val="6D9401E3"/>
    <w:rsid w:val="6F4E36C0"/>
    <w:rsid w:val="703D430A"/>
    <w:rsid w:val="70835874"/>
    <w:rsid w:val="70D204D8"/>
    <w:rsid w:val="71135217"/>
    <w:rsid w:val="711A56D3"/>
    <w:rsid w:val="721415EB"/>
    <w:rsid w:val="721F4E2A"/>
    <w:rsid w:val="725B7E61"/>
    <w:rsid w:val="72670048"/>
    <w:rsid w:val="72BE35C0"/>
    <w:rsid w:val="74FD10F8"/>
    <w:rsid w:val="76234842"/>
    <w:rsid w:val="76312C4C"/>
    <w:rsid w:val="7640560B"/>
    <w:rsid w:val="768878C3"/>
    <w:rsid w:val="76BE4E1E"/>
    <w:rsid w:val="76BF6198"/>
    <w:rsid w:val="773B1C2B"/>
    <w:rsid w:val="77806F3F"/>
    <w:rsid w:val="77D26A58"/>
    <w:rsid w:val="781A3051"/>
    <w:rsid w:val="78925818"/>
    <w:rsid w:val="7900628C"/>
    <w:rsid w:val="7A4C2222"/>
    <w:rsid w:val="7B3E1586"/>
    <w:rsid w:val="7B9E7459"/>
    <w:rsid w:val="7BD45B48"/>
    <w:rsid w:val="7D85317D"/>
    <w:rsid w:val="7DBA6AF9"/>
    <w:rsid w:val="7DEE3F28"/>
    <w:rsid w:val="7E0C40B3"/>
    <w:rsid w:val="7E3F1143"/>
    <w:rsid w:val="7EB21380"/>
    <w:rsid w:val="7EDF17DF"/>
    <w:rsid w:val="7F4A6609"/>
    <w:rsid w:val="7FCF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22"/>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6"/>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autoRedefine/>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9">
    <w:name w:val="Default Paragraph Font"/>
    <w:link w:val="20"/>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styleId="6">
    <w:name w:val="Normal Indent"/>
    <w:basedOn w:val="1"/>
    <w:autoRedefine/>
    <w:qFormat/>
    <w:uiPriority w:val="0"/>
    <w:pPr>
      <w:ind w:firstLine="420" w:firstLineChars="200"/>
    </w:pPr>
  </w:style>
  <w:style w:type="paragraph" w:styleId="7">
    <w:name w:val="Body Text"/>
    <w:basedOn w:val="1"/>
    <w:next w:val="1"/>
    <w:autoRedefine/>
    <w:qFormat/>
    <w:uiPriority w:val="1"/>
    <w:pPr>
      <w:spacing w:before="150"/>
      <w:ind w:left="120"/>
    </w:pPr>
    <w:rPr>
      <w:sz w:val="24"/>
      <w:szCs w:val="24"/>
    </w:rPr>
  </w:style>
  <w:style w:type="paragraph" w:styleId="8">
    <w:name w:val="Body Text Indent"/>
    <w:basedOn w:val="1"/>
    <w:autoRedefine/>
    <w:qFormat/>
    <w:uiPriority w:val="0"/>
    <w:pPr>
      <w:spacing w:after="120"/>
      <w:ind w:left="200" w:leftChars="200"/>
    </w:pPr>
    <w:rPr>
      <w:rFonts w:ascii="Times New Roman" w:hAnsi="Times New Roman"/>
      <w:sz w:val="28"/>
      <w:szCs w:val="20"/>
    </w:rPr>
  </w:style>
  <w:style w:type="paragraph" w:styleId="9">
    <w:name w:val="Balloon Text"/>
    <w:basedOn w:val="1"/>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4">
    <w:name w:val="toc 2"/>
    <w:basedOn w:val="1"/>
    <w:next w:val="1"/>
    <w:autoRedefine/>
    <w:unhideWhenUsed/>
    <w:qFormat/>
    <w:uiPriority w:val="39"/>
    <w:pPr>
      <w:ind w:left="420" w:leftChars="200"/>
    </w:pPr>
  </w:style>
  <w:style w:type="paragraph" w:styleId="15">
    <w:name w:val="Body Text First Indent"/>
    <w:basedOn w:val="7"/>
    <w:autoRedefine/>
    <w:qFormat/>
    <w:uiPriority w:val="0"/>
    <w:pPr>
      <w:ind w:firstLine="420" w:firstLineChars="100"/>
    </w:pPr>
  </w:style>
  <w:style w:type="paragraph" w:styleId="16">
    <w:name w:val="Body Text First Indent 2"/>
    <w:basedOn w:val="8"/>
    <w:autoRedefine/>
    <w:unhideWhenUsed/>
    <w:qFormat/>
    <w:uiPriority w:val="99"/>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w:basedOn w:val="1"/>
    <w:link w:val="19"/>
    <w:autoRedefine/>
    <w:qFormat/>
    <w:uiPriority w:val="0"/>
  </w:style>
  <w:style w:type="character" w:styleId="21">
    <w:name w:val="Hyperlink"/>
    <w:basedOn w:val="19"/>
    <w:autoRedefine/>
    <w:qFormat/>
    <w:uiPriority w:val="99"/>
    <w:rPr>
      <w:color w:val="0000FF"/>
      <w:u w:val="single"/>
    </w:rPr>
  </w:style>
  <w:style w:type="character" w:customStyle="1" w:styleId="22">
    <w:name w:val="标题 1 Char"/>
    <w:basedOn w:val="19"/>
    <w:link w:val="3"/>
    <w:autoRedefine/>
    <w:qFormat/>
    <w:uiPriority w:val="0"/>
    <w:rPr>
      <w:rFonts w:ascii="Times New Roman" w:hAnsi="Times New Roman" w:eastAsia="仿宋"/>
      <w:b/>
      <w:bCs/>
      <w:kern w:val="44"/>
      <w:sz w:val="44"/>
      <w:szCs w:val="44"/>
    </w:rPr>
  </w:style>
  <w:style w:type="character" w:customStyle="1" w:styleId="23">
    <w:name w:val="font01"/>
    <w:basedOn w:val="19"/>
    <w:autoRedefine/>
    <w:qFormat/>
    <w:uiPriority w:val="0"/>
    <w:rPr>
      <w:rFonts w:hint="eastAsia" w:ascii="宋体" w:hAnsi="宋体" w:eastAsia="宋体" w:cs="宋体"/>
      <w:color w:val="000000"/>
      <w:sz w:val="24"/>
      <w:szCs w:val="24"/>
      <w:u w:val="single"/>
    </w:rPr>
  </w:style>
  <w:style w:type="character" w:customStyle="1" w:styleId="24">
    <w:name w:val="font31"/>
    <w:basedOn w:val="19"/>
    <w:autoRedefine/>
    <w:qFormat/>
    <w:uiPriority w:val="0"/>
    <w:rPr>
      <w:rFonts w:hint="eastAsia" w:ascii="宋体" w:hAnsi="宋体" w:eastAsia="宋体" w:cs="宋体"/>
      <w:color w:val="000000"/>
      <w:sz w:val="18"/>
      <w:szCs w:val="18"/>
      <w:u w:val="none"/>
    </w:rPr>
  </w:style>
  <w:style w:type="character" w:customStyle="1" w:styleId="25">
    <w:name w:val="font41"/>
    <w:basedOn w:val="19"/>
    <w:autoRedefine/>
    <w:qFormat/>
    <w:uiPriority w:val="0"/>
    <w:rPr>
      <w:rFonts w:hint="eastAsia" w:ascii="宋体" w:hAnsi="宋体" w:eastAsia="宋体" w:cs="宋体"/>
      <w:b/>
      <w:color w:val="000000"/>
      <w:sz w:val="20"/>
      <w:szCs w:val="20"/>
      <w:u w:val="none"/>
    </w:rPr>
  </w:style>
  <w:style w:type="character" w:customStyle="1" w:styleId="26">
    <w:name w:val="font71"/>
    <w:basedOn w:val="19"/>
    <w:autoRedefine/>
    <w:qFormat/>
    <w:uiPriority w:val="0"/>
    <w:rPr>
      <w:rFonts w:ascii="Calibri" w:hAnsi="Calibri" w:cs="Calibri"/>
      <w:b/>
      <w:color w:val="000000"/>
      <w:sz w:val="20"/>
      <w:szCs w:val="20"/>
      <w:u w:val="none"/>
    </w:rPr>
  </w:style>
  <w:style w:type="character" w:customStyle="1" w:styleId="27">
    <w:name w:val="font61"/>
    <w:basedOn w:val="19"/>
    <w:autoRedefine/>
    <w:qFormat/>
    <w:uiPriority w:val="0"/>
    <w:rPr>
      <w:rFonts w:hint="default" w:ascii="Helv" w:hAnsi="Helv" w:eastAsia="Helv" w:cs="Helv"/>
      <w:color w:val="000000"/>
      <w:sz w:val="18"/>
      <w:szCs w:val="18"/>
      <w:u w:val="none"/>
    </w:rPr>
  </w:style>
  <w:style w:type="character" w:customStyle="1" w:styleId="28">
    <w:name w:val="font11"/>
    <w:basedOn w:val="19"/>
    <w:autoRedefine/>
    <w:qFormat/>
    <w:uiPriority w:val="0"/>
    <w:rPr>
      <w:rFonts w:hint="eastAsia" w:ascii="宋体" w:hAnsi="宋体" w:eastAsia="宋体" w:cs="宋体"/>
      <w:color w:val="000000"/>
      <w:sz w:val="18"/>
      <w:szCs w:val="18"/>
      <w:u w:val="none"/>
      <w:vertAlign w:val="subscript"/>
    </w:rPr>
  </w:style>
  <w:style w:type="character" w:customStyle="1" w:styleId="29">
    <w:name w:val="font21"/>
    <w:basedOn w:val="19"/>
    <w:autoRedefine/>
    <w:qFormat/>
    <w:uiPriority w:val="0"/>
    <w:rPr>
      <w:rFonts w:hint="eastAsia" w:ascii="宋体" w:hAnsi="宋体" w:eastAsia="宋体" w:cs="宋体"/>
      <w:color w:val="000000"/>
      <w:sz w:val="20"/>
      <w:szCs w:val="20"/>
      <w:u w:val="none"/>
    </w:rPr>
  </w:style>
  <w:style w:type="character" w:customStyle="1" w:styleId="30">
    <w:name w:val="页码1"/>
    <w:basedOn w:val="19"/>
    <w:autoRedefine/>
    <w:qFormat/>
    <w:uiPriority w:val="0"/>
  </w:style>
  <w:style w:type="paragraph" w:customStyle="1" w:styleId="31">
    <w:name w:val="Char Char1 Char Char Char Char Char Char Char"/>
    <w:basedOn w:val="1"/>
    <w:autoRedefine/>
    <w:qFormat/>
    <w:uiPriority w:val="0"/>
    <w:pPr>
      <w:pageBreakBefore/>
    </w:pPr>
  </w:style>
  <w:style w:type="paragraph" w:customStyle="1" w:styleId="32">
    <w:name w:val="列出段落1"/>
    <w:basedOn w:val="1"/>
    <w:autoRedefine/>
    <w:qFormat/>
    <w:uiPriority w:val="0"/>
    <w:pPr>
      <w:ind w:firstLine="420" w:firstLineChars="200"/>
    </w:pPr>
    <w:rPr>
      <w:rFonts w:ascii="Calibri" w:hAnsi="Calibri"/>
      <w:szCs w:val="22"/>
    </w:rPr>
  </w:style>
  <w:style w:type="paragraph" w:customStyle="1" w:styleId="33">
    <w:name w:val="正文文本 31"/>
    <w:basedOn w:val="1"/>
    <w:autoRedefine/>
    <w:qFormat/>
    <w:uiPriority w:val="0"/>
    <w:pPr>
      <w:spacing w:after="120"/>
    </w:pPr>
    <w:rPr>
      <w:sz w:val="16"/>
      <w:szCs w:val="16"/>
    </w:rPr>
  </w:style>
  <w:style w:type="paragraph" w:customStyle="1" w:styleId="34">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正文缩进1"/>
    <w:basedOn w:val="1"/>
    <w:autoRedefine/>
    <w:qFormat/>
    <w:uiPriority w:val="0"/>
    <w:pPr>
      <w:ind w:firstLine="420" w:firstLineChars="200"/>
    </w:pPr>
  </w:style>
  <w:style w:type="paragraph" w:customStyle="1" w:styleId="36">
    <w:name w:val="列出段落11"/>
    <w:basedOn w:val="1"/>
    <w:autoRedefine/>
    <w:qFormat/>
    <w:uiPriority w:val="0"/>
    <w:pPr>
      <w:ind w:firstLine="420" w:firstLineChars="200"/>
    </w:pPr>
  </w:style>
  <w:style w:type="paragraph" w:customStyle="1" w:styleId="37">
    <w:name w:val="正文文本缩进 21"/>
    <w:basedOn w:val="1"/>
    <w:autoRedefine/>
    <w:qFormat/>
    <w:uiPriority w:val="0"/>
    <w:pPr>
      <w:spacing w:after="120" w:line="480" w:lineRule="auto"/>
      <w:ind w:left="420" w:leftChars="200"/>
    </w:pPr>
  </w:style>
  <w:style w:type="paragraph" w:customStyle="1" w:styleId="38">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9">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w:basedOn w:val="1"/>
    <w:autoRedefine/>
    <w:qFormat/>
    <w:uiPriority w:val="0"/>
  </w:style>
  <w:style w:type="paragraph" w:customStyle="1" w:styleId="4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Char Char Char"/>
    <w:basedOn w:val="1"/>
    <w:autoRedefine/>
    <w:qFormat/>
    <w:uiPriority w:val="0"/>
    <w:rPr>
      <w:rFonts w:ascii="Tahoma" w:hAnsi="Tahoma"/>
      <w:sz w:val="24"/>
      <w:szCs w:val="20"/>
    </w:rPr>
  </w:style>
  <w:style w:type="paragraph" w:customStyle="1" w:styleId="43">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样式 正文（首行缩进两字） + 宋体 小四"/>
    <w:basedOn w:val="35"/>
    <w:autoRedefine/>
    <w:qFormat/>
    <w:uiPriority w:val="0"/>
    <w:pPr>
      <w:spacing w:line="360" w:lineRule="auto"/>
      <w:ind w:firstLine="560"/>
    </w:pPr>
    <w:rPr>
      <w:rFonts w:ascii="仿宋_GB2312" w:hAnsi="宋体" w:eastAsia="仿宋_GB2312"/>
      <w:spacing w:val="-10"/>
      <w:sz w:val="30"/>
      <w:szCs w:val="30"/>
    </w:rPr>
  </w:style>
  <w:style w:type="paragraph" w:customStyle="1" w:styleId="45">
    <w:name w:val="Char Char Char Char Char Char Char Char Char Char Char Char"/>
    <w:basedOn w:val="1"/>
    <w:autoRedefine/>
    <w:qFormat/>
    <w:uiPriority w:val="0"/>
    <w:pPr>
      <w:spacing w:line="360" w:lineRule="auto"/>
      <w:ind w:firstLine="200" w:firstLineChars="200"/>
    </w:pPr>
    <w:rPr>
      <w:rFonts w:ascii="宋体" w:eastAsia="仿宋_GB2312" w:cs="宋体"/>
      <w:sz w:val="28"/>
      <w:szCs w:val="28"/>
    </w:rPr>
  </w:style>
  <w:style w:type="character" w:customStyle="1" w:styleId="46">
    <w:name w:val="标题 2 Char"/>
    <w:basedOn w:val="19"/>
    <w:link w:val="4"/>
    <w:autoRedefine/>
    <w:qFormat/>
    <w:uiPriority w:val="9"/>
    <w:rPr>
      <w:rFonts w:eastAsia="仿宋" w:asciiTheme="majorAscii" w:hAnsiTheme="majorAscii" w:cstheme="majorBidi"/>
      <w:b/>
      <w:bCs/>
      <w:kern w:val="2"/>
      <w:sz w:val="28"/>
      <w:szCs w:val="32"/>
    </w:rPr>
  </w:style>
  <w:style w:type="character" w:customStyle="1" w:styleId="47">
    <w:name w:val="书籍标题1"/>
    <w:autoRedefine/>
    <w:qFormat/>
    <w:uiPriority w:val="0"/>
    <w:rPr>
      <w:b/>
      <w:smallCaps/>
      <w:spacing w:val="5"/>
      <w:w w:val="100"/>
      <w:sz w:val="20"/>
      <w:szCs w:val="20"/>
      <w:shd w:val="clear" w:color="auto" w:fill="auto"/>
    </w:rPr>
  </w:style>
  <w:style w:type="paragraph" w:customStyle="1" w:styleId="48">
    <w:name w:val="List Paragraph"/>
    <w:basedOn w:val="1"/>
    <w:autoRedefine/>
    <w:qFormat/>
    <w:uiPriority w:val="0"/>
    <w:pPr>
      <w:ind w:firstLine="420" w:firstLineChars="200"/>
    </w:pPr>
  </w:style>
  <w:style w:type="paragraph" w:customStyle="1" w:styleId="49">
    <w:name w:val="WPSOffice手动目录 1"/>
    <w:autoRedefine/>
    <w:qFormat/>
    <w:uiPriority w:val="0"/>
    <w:pPr>
      <w:ind w:leftChars="0"/>
    </w:pPr>
    <w:rPr>
      <w:rFonts w:ascii="Times New Roman" w:hAnsi="Times New Roman" w:eastAsia="宋体" w:cs="Times New Roman"/>
      <w:sz w:val="20"/>
      <w:szCs w:val="20"/>
    </w:rPr>
  </w:style>
  <w:style w:type="paragraph" w:customStyle="1" w:styleId="50">
    <w:name w:val="WPSOffice手动目录 2"/>
    <w:autoRedefine/>
    <w:qFormat/>
    <w:uiPriority w:val="0"/>
    <w:pPr>
      <w:ind w:leftChars="200"/>
    </w:pPr>
    <w:rPr>
      <w:rFonts w:ascii="Times New Roman" w:hAnsi="Times New Roman" w:eastAsia="宋体" w:cs="Times New Roman"/>
      <w:sz w:val="20"/>
      <w:szCs w:val="20"/>
    </w:rPr>
  </w:style>
  <w:style w:type="paragraph" w:customStyle="1" w:styleId="51">
    <w:name w:val="WPSOffice手动目录 3"/>
    <w:autoRedefine/>
    <w:qFormat/>
    <w:uiPriority w:val="0"/>
    <w:pPr>
      <w:ind w:leftChars="400"/>
    </w:pPr>
    <w:rPr>
      <w:rFonts w:ascii="Times New Roman" w:hAnsi="Times New Roman" w:eastAsia="宋体" w:cs="Times New Roman"/>
      <w:sz w:val="20"/>
      <w:szCs w:val="20"/>
    </w:rPr>
  </w:style>
  <w:style w:type="paragraph" w:customStyle="1" w:styleId="5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3">
    <w:name w:val="NormalCharacter"/>
    <w:link w:val="54"/>
    <w:autoRedefine/>
    <w:qFormat/>
    <w:uiPriority w:val="0"/>
    <w:rPr>
      <w:kern w:val="2"/>
      <w:sz w:val="21"/>
      <w:szCs w:val="24"/>
      <w:lang w:val="en-US" w:eastAsia="zh-CN" w:bidi="ar-SA"/>
    </w:rPr>
  </w:style>
  <w:style w:type="paragraph" w:customStyle="1" w:styleId="54">
    <w:name w:val="UserStyle_2"/>
    <w:basedOn w:val="1"/>
    <w:link w:val="53"/>
    <w:autoRedefine/>
    <w:qFormat/>
    <w:uiPriority w:val="0"/>
    <w:pPr>
      <w:spacing w:line="240" w:lineRule="auto"/>
      <w:jc w:val="both"/>
      <w:textAlignment w:val="baseline"/>
    </w:pPr>
    <w:rPr>
      <w:kern w:val="2"/>
      <w:sz w:val="21"/>
      <w:szCs w:val="24"/>
      <w:lang w:val="en-US" w:eastAsia="zh-CN" w:bidi="ar-SA"/>
    </w:rPr>
  </w:style>
  <w:style w:type="paragraph" w:customStyle="1" w:styleId="55">
    <w:name w:val="Pa3"/>
    <w:basedOn w:val="41"/>
    <w:next w:val="41"/>
    <w:autoRedefine/>
    <w:qFormat/>
    <w:uiPriority w:val="99"/>
    <w:pPr>
      <w:spacing w:line="191" w:lineRule="atLeast"/>
    </w:pPr>
    <w:rPr>
      <w:rFonts w:ascii="Boton Pro Regular" w:hAnsi="Times New Roman" w:eastAsia="Boton Pro Regular"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8251</Words>
  <Characters>8511</Characters>
  <Lines>101</Lines>
  <Paragraphs>28</Paragraphs>
  <TotalTime>15</TotalTime>
  <ScaleCrop>false</ScaleCrop>
  <LinksUpToDate>false</LinksUpToDate>
  <CharactersWithSpaces>9870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2024-04-16T07:22:00Z</cp:lastPrinted>
  <dcterms:modified xsi:type="dcterms:W3CDTF">2024-04-16T07:38:25Z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BF67DF285D0A45EB8BC117D6E87FE8C7</vt:lpwstr>
  </property>
</Properties>
</file>