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8B3C">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14:paraId="6C6EEDAA">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14:paraId="5C07B1F6">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rPr>
        <w:t>号）</w:t>
      </w:r>
    </w:p>
    <w:p w14:paraId="65075A14">
      <w:pPr>
        <w:pStyle w:val="9"/>
        <w:widowControl/>
        <w:spacing w:beforeAutospacing="0" w:afterAutospacing="0" w:line="594" w:lineRule="exact"/>
        <w:jc w:val="both"/>
        <w:rPr>
          <w:rFonts w:ascii="仿宋" w:hAnsi="仿宋" w:eastAsia="仿宋" w:cs="宋体"/>
          <w:kern w:val="2"/>
          <w:sz w:val="28"/>
          <w:szCs w:val="28"/>
        </w:rPr>
      </w:pPr>
    </w:p>
    <w:p w14:paraId="63CC715D">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14:paraId="2C7EE7DA">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w:t>
      </w:r>
      <w:r>
        <w:rPr>
          <w:rFonts w:hint="eastAsia" w:ascii="方正仿宋_GBK" w:hAnsi="方正仿宋_GBK" w:eastAsia="方正仿宋_GBK" w:cs="方正仿宋_GBK"/>
          <w:b/>
          <w:bCs/>
          <w:sz w:val="32"/>
          <w:szCs w:val="32"/>
          <w:shd w:val="clear" w:color="auto" w:fill="FFFFFF"/>
          <w:lang w:val="en-US" w:eastAsia="zh-CN"/>
        </w:rPr>
        <w:t>遴选的</w:t>
      </w:r>
      <w:r>
        <w:rPr>
          <w:rFonts w:hint="eastAsia" w:ascii="方正仿宋_GBK" w:hAnsi="方正仿宋_GBK" w:eastAsia="方正仿宋_GBK" w:cs="方正仿宋_GBK"/>
          <w:b/>
          <w:bCs/>
          <w:sz w:val="32"/>
          <w:szCs w:val="32"/>
          <w:shd w:val="clear" w:color="auto" w:fill="FFFFFF"/>
        </w:rPr>
        <w:t>医用耗材试剂品目种类</w:t>
      </w:r>
    </w:p>
    <w:tbl>
      <w:tblPr>
        <w:tblStyle w:val="10"/>
        <w:tblW w:w="9306" w:type="dxa"/>
        <w:jc w:val="center"/>
        <w:tblLayout w:type="fixed"/>
        <w:tblCellMar>
          <w:top w:w="0" w:type="dxa"/>
          <w:left w:w="0" w:type="dxa"/>
          <w:bottom w:w="0" w:type="dxa"/>
          <w:right w:w="0" w:type="dxa"/>
        </w:tblCellMar>
      </w:tblPr>
      <w:tblGrid>
        <w:gridCol w:w="906"/>
        <w:gridCol w:w="5280"/>
        <w:gridCol w:w="3120"/>
      </w:tblGrid>
      <w:tr w14:paraId="7D7D6970">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32FFB">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37249">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60CB8">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14:paraId="5591E56D">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CD66E">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分包一</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BDEB6">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输尿管支架管</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4904C">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62782D65">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F9445">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分包二</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A52FA">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非血管腔道导丝</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0454B">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4AE93543">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68A3F">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分包三</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94190">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val="en-US" w:eastAsia="zh-CN" w:bidi="ar"/>
              </w:rPr>
              <w:t>一次性使用输尿管软镜取石套件（扩张管含网篮）</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6CF59">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69D45DA7">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3A967">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分包四</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8F777">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val="en-US" w:eastAsia="zh-CN" w:bidi="ar"/>
              </w:rPr>
              <w:t>一次性输尿管导引鞘</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38F4E">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407D4757">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BF9D5">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分包五</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2C911">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val="en-US" w:eastAsia="zh-CN" w:bidi="ar"/>
              </w:rPr>
              <w:t>经皮穿刺鞘组（一次性使用微创扩张引流套件）</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500DF">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6AA69754">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DBE28">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分包六</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64990">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val="en-US" w:eastAsia="zh-CN" w:bidi="ar"/>
              </w:rPr>
              <w:t>一次性使用电子输尿管肾盂内窥镜导管</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F251A">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341BF908">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79367">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分包七</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09B99">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双极环状电极（等离子双极电切电凝系统）</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9E41A">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14:paraId="61D5F0A7">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14:paraId="3F22218A">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w:t>
      </w:r>
      <w:r>
        <w:rPr>
          <w:rFonts w:hint="eastAsia" w:ascii="方正仿宋_GBK" w:hAnsi="方正仿宋_GBK" w:eastAsia="方正仿宋_GBK" w:cs="方正仿宋_GBK"/>
          <w:kern w:val="0"/>
          <w:sz w:val="32"/>
          <w:szCs w:val="32"/>
          <w:highlight w:val="yellow"/>
          <w:shd w:val="clear" w:color="auto" w:fill="FFFFFF"/>
          <w:lang w:bidi="ar"/>
        </w:rPr>
        <w:t>（http://www.cqstlqrmyy.cn/Index.shtml）</w:t>
      </w:r>
      <w:r>
        <w:rPr>
          <w:rFonts w:hint="eastAsia" w:ascii="方正仿宋_GBK" w:hAnsi="方正仿宋_GBK" w:eastAsia="方正仿宋_GBK" w:cs="方正仿宋_GBK"/>
          <w:kern w:val="0"/>
          <w:sz w:val="32"/>
          <w:szCs w:val="32"/>
          <w:shd w:val="clear" w:color="auto" w:fill="FFFFFF"/>
          <w:lang w:bidi="ar"/>
        </w:rPr>
        <w:t>上免费下载。</w:t>
      </w:r>
    </w:p>
    <w:p w14:paraId="18D1FBFD">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14:paraId="2A4BBB5B">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报名及递交文件地点：重庆市铜梁区人民医院行政楼三楼306医学装备科办公室。</w:t>
      </w:r>
    </w:p>
    <w:p w14:paraId="74586729">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w:t>
      </w:r>
      <w:r>
        <w:rPr>
          <w:rFonts w:hint="eastAsia" w:ascii="方正仿宋_GBK" w:hAnsi="方正仿宋_GBK" w:eastAsia="方正仿宋_GBK" w:cs="方正仿宋_GBK"/>
          <w:kern w:val="0"/>
          <w:sz w:val="32"/>
          <w:szCs w:val="32"/>
          <w:highlight w:val="yellow"/>
          <w:shd w:val="clear" w:color="auto" w:fill="FFFFFF"/>
          <w:lang w:bidi="ar"/>
        </w:rPr>
        <w:t>202</w:t>
      </w:r>
      <w:r>
        <w:rPr>
          <w:rFonts w:hint="eastAsia" w:ascii="方正仿宋_GBK" w:hAnsi="方正仿宋_GBK" w:eastAsia="方正仿宋_GBK" w:cs="方正仿宋_GBK"/>
          <w:kern w:val="0"/>
          <w:sz w:val="32"/>
          <w:szCs w:val="32"/>
          <w:highlight w:val="yellow"/>
          <w:shd w:val="clear" w:color="auto" w:fill="FFFFFF"/>
          <w:lang w:val="en-US" w:eastAsia="zh-CN" w:bidi="ar"/>
        </w:rPr>
        <w:t>4</w:t>
      </w:r>
      <w:r>
        <w:rPr>
          <w:rFonts w:hint="eastAsia" w:ascii="方正仿宋_GBK" w:hAnsi="方正仿宋_GBK" w:eastAsia="方正仿宋_GBK" w:cs="方正仿宋_GBK"/>
          <w:kern w:val="0"/>
          <w:sz w:val="32"/>
          <w:szCs w:val="32"/>
          <w:highlight w:val="yellow"/>
          <w:shd w:val="clear" w:color="auto" w:fill="FFFFFF"/>
          <w:lang w:bidi="ar"/>
        </w:rPr>
        <w:t>年</w:t>
      </w:r>
      <w:r>
        <w:rPr>
          <w:rFonts w:hint="eastAsia" w:ascii="方正仿宋_GBK" w:hAnsi="方正仿宋_GBK" w:eastAsia="方正仿宋_GBK" w:cs="方正仿宋_GBK"/>
          <w:kern w:val="0"/>
          <w:sz w:val="32"/>
          <w:szCs w:val="32"/>
          <w:highlight w:val="yellow"/>
          <w:shd w:val="clear" w:color="auto" w:fill="FFFFFF"/>
          <w:lang w:val="en-US" w:eastAsia="zh-CN" w:bidi="ar"/>
        </w:rPr>
        <w:t>9</w:t>
      </w:r>
      <w:r>
        <w:rPr>
          <w:rFonts w:hint="eastAsia" w:ascii="方正仿宋_GBK" w:hAnsi="方正仿宋_GBK" w:eastAsia="方正仿宋_GBK" w:cs="方正仿宋_GBK"/>
          <w:kern w:val="0"/>
          <w:sz w:val="32"/>
          <w:szCs w:val="32"/>
          <w:highlight w:val="yellow"/>
          <w:shd w:val="clear" w:color="auto" w:fill="FFFFFF"/>
          <w:lang w:bidi="ar"/>
        </w:rPr>
        <w:t>月</w:t>
      </w:r>
      <w:r>
        <w:rPr>
          <w:rFonts w:hint="eastAsia" w:ascii="方正仿宋_GBK" w:hAnsi="方正仿宋_GBK" w:eastAsia="方正仿宋_GBK" w:cs="方正仿宋_GBK"/>
          <w:kern w:val="0"/>
          <w:sz w:val="32"/>
          <w:szCs w:val="32"/>
          <w:highlight w:val="yellow"/>
          <w:shd w:val="clear" w:color="auto" w:fill="FFFFFF"/>
          <w:lang w:val="en-US" w:eastAsia="zh-CN" w:bidi="ar"/>
        </w:rPr>
        <w:t>17</w:t>
      </w:r>
      <w:r>
        <w:rPr>
          <w:rFonts w:hint="eastAsia" w:ascii="方正仿宋_GBK" w:hAnsi="方正仿宋_GBK" w:eastAsia="方正仿宋_GBK" w:cs="方正仿宋_GBK"/>
          <w:kern w:val="0"/>
          <w:sz w:val="32"/>
          <w:szCs w:val="32"/>
          <w:highlight w:val="yellow"/>
          <w:shd w:val="clear" w:color="auto" w:fill="FFFFFF"/>
          <w:lang w:bidi="ar"/>
        </w:rPr>
        <w:t>日</w:t>
      </w:r>
      <w:r>
        <w:rPr>
          <w:rFonts w:hint="eastAsia" w:ascii="方正仿宋_GBK" w:hAnsi="方正仿宋_GBK" w:eastAsia="方正仿宋_GBK" w:cs="方正仿宋_GBK"/>
          <w:kern w:val="0"/>
          <w:sz w:val="32"/>
          <w:szCs w:val="32"/>
          <w:highlight w:val="yellow"/>
          <w:shd w:val="clear" w:color="auto" w:fill="FFFFFF"/>
          <w:lang w:val="en-US" w:eastAsia="zh-CN" w:bidi="ar"/>
        </w:rPr>
        <w:t>17</w:t>
      </w:r>
      <w:r>
        <w:rPr>
          <w:rFonts w:hint="eastAsia" w:ascii="方正仿宋_GBK" w:hAnsi="方正仿宋_GBK" w:eastAsia="方正仿宋_GBK" w:cs="方正仿宋_GBK"/>
          <w:kern w:val="0"/>
          <w:sz w:val="32"/>
          <w:szCs w:val="32"/>
          <w:highlight w:val="yellow"/>
          <w:shd w:val="clear" w:color="auto" w:fill="FFFFFF"/>
          <w:lang w:bidi="ar"/>
        </w:rPr>
        <w:t>:</w:t>
      </w:r>
      <w:r>
        <w:rPr>
          <w:rFonts w:hint="eastAsia" w:ascii="方正仿宋_GBK" w:hAnsi="方正仿宋_GBK" w:eastAsia="方正仿宋_GBK" w:cs="方正仿宋_GBK"/>
          <w:kern w:val="0"/>
          <w:sz w:val="32"/>
          <w:szCs w:val="32"/>
          <w:highlight w:val="yellow"/>
          <w:shd w:val="clear" w:color="auto" w:fill="FFFFFF"/>
          <w:lang w:val="en-US" w:eastAsia="zh-CN" w:bidi="ar"/>
        </w:rPr>
        <w:t>3</w:t>
      </w:r>
      <w:r>
        <w:rPr>
          <w:rFonts w:hint="eastAsia" w:ascii="方正仿宋_GBK" w:hAnsi="方正仿宋_GBK" w:eastAsia="方正仿宋_GBK" w:cs="方正仿宋_GBK"/>
          <w:kern w:val="0"/>
          <w:sz w:val="32"/>
          <w:szCs w:val="32"/>
          <w:highlight w:val="yellow"/>
          <w:shd w:val="clear" w:color="auto" w:fill="FFFFFF"/>
          <w:lang w:bidi="ar"/>
        </w:rPr>
        <w:t>0分</w:t>
      </w:r>
      <w:r>
        <w:rPr>
          <w:rFonts w:hint="eastAsia" w:ascii="方正仿宋_GBK" w:hAnsi="方正仿宋_GBK" w:eastAsia="方正仿宋_GBK" w:cs="方正仿宋_GBK"/>
          <w:kern w:val="0"/>
          <w:sz w:val="32"/>
          <w:szCs w:val="32"/>
          <w:shd w:val="clear" w:color="auto" w:fill="FFFFFF"/>
          <w:lang w:bidi="ar"/>
        </w:rPr>
        <w:t>（工作时间内），逾期不予受理。</w:t>
      </w:r>
    </w:p>
    <w:p w14:paraId="54EED5F1">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报名所需资料：《遴选参与文件》（纸质档及电子档，电子档发邮箱：1</w:t>
      </w:r>
      <w:r>
        <w:rPr>
          <w:rFonts w:hint="eastAsia" w:ascii="方正仿宋_GBK" w:hAnsi="方正仿宋_GBK" w:eastAsia="方正仿宋_GBK" w:cs="方正仿宋_GBK"/>
          <w:kern w:val="0"/>
          <w:sz w:val="32"/>
          <w:szCs w:val="32"/>
          <w:shd w:val="clear" w:color="auto" w:fill="FFFFFF"/>
          <w:lang w:val="en-US" w:eastAsia="zh-CN" w:bidi="ar"/>
        </w:rPr>
        <w:t>099638275</w:t>
      </w:r>
      <w:r>
        <w:rPr>
          <w:rFonts w:hint="eastAsia" w:ascii="方正仿宋_GBK" w:hAnsi="方正仿宋_GBK" w:eastAsia="方正仿宋_GBK" w:cs="方正仿宋_GBK"/>
          <w:kern w:val="0"/>
          <w:sz w:val="32"/>
          <w:szCs w:val="32"/>
          <w:shd w:val="clear" w:color="auto" w:fill="FFFFFF"/>
          <w:lang w:bidi="ar"/>
        </w:rPr>
        <w:t>@qq.com），同时携带产品实物进行测试。</w:t>
      </w:r>
    </w:p>
    <w:p w14:paraId="12EF54C7">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14:paraId="6E0DF0C9">
      <w:pPr>
        <w:pStyle w:val="2"/>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14:paraId="2FE050ED">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14:paraId="1D24C788">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文</w:t>
      </w:r>
      <w:r>
        <w:rPr>
          <w:rFonts w:hint="eastAsia" w:ascii="方正仿宋_GBK" w:hAnsi="方正仿宋_GBK" w:eastAsia="方正仿宋_GBK" w:cs="方正仿宋_GBK"/>
          <w:b w:val="0"/>
          <w:bCs w:val="0"/>
          <w:kern w:val="0"/>
          <w:sz w:val="32"/>
          <w:shd w:val="clear" w:color="auto" w:fill="FFFFFF"/>
          <w:lang w:bidi="ar"/>
        </w:rPr>
        <w:t>老师</w:t>
      </w:r>
    </w:p>
    <w:p w14:paraId="6D7D2AFF">
      <w:pPr>
        <w:pStyle w:val="2"/>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14:paraId="02FCE289">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王主任</w:t>
      </w:r>
    </w:p>
    <w:p w14:paraId="3BAA5EFD">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13509426816</w:t>
      </w:r>
    </w:p>
    <w:p w14:paraId="28B590E4">
      <w:pPr>
        <w:ind w:firstLine="420" w:firstLineChars="200"/>
        <w:rPr>
          <w:rFonts w:hint="default" w:eastAsia="方正仿宋_GBK"/>
          <w:lang w:val="en-US" w:eastAsia="zh-CN"/>
        </w:rPr>
      </w:pPr>
    </w:p>
    <w:p w14:paraId="4ABFEAF0">
      <w:pPr>
        <w:pStyle w:val="2"/>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14:paraId="463F0664">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14:paraId="4E312416">
      <w:pPr>
        <w:pStyle w:val="2"/>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14:paraId="27914C03">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14:paraId="1655C9FF">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14:paraId="69D05B47">
      <w:pPr>
        <w:jc w:val="center"/>
        <w:outlineLvl w:val="0"/>
        <w:rPr>
          <w:rFonts w:ascii="仿宋" w:hAnsi="仿宋" w:eastAsia="仿宋" w:cs="华文中宋"/>
          <w:b/>
          <w:sz w:val="84"/>
          <w:szCs w:val="84"/>
        </w:rPr>
      </w:pPr>
      <w:bookmarkStart w:id="3" w:name="_Toc30412"/>
      <w:bookmarkStart w:id="4" w:name="_Toc23878"/>
      <w:bookmarkStart w:id="5" w:name="_Toc4049"/>
      <w:r>
        <w:rPr>
          <w:rFonts w:hint="eastAsia" w:ascii="仿宋" w:hAnsi="仿宋" w:eastAsia="仿宋" w:cs="华文中宋"/>
          <w:b/>
          <w:sz w:val="84"/>
          <w:szCs w:val="84"/>
        </w:rPr>
        <w:t>重庆市铜梁区人民医院</w:t>
      </w:r>
      <w:bookmarkEnd w:id="3"/>
      <w:bookmarkEnd w:id="4"/>
      <w:bookmarkEnd w:id="5"/>
    </w:p>
    <w:p w14:paraId="618F0DA4">
      <w:pPr>
        <w:jc w:val="center"/>
        <w:rPr>
          <w:rFonts w:ascii="仿宋" w:hAnsi="仿宋" w:eastAsia="仿宋" w:cs="华文中宋"/>
          <w:b/>
          <w:sz w:val="84"/>
          <w:szCs w:val="84"/>
        </w:rPr>
      </w:pPr>
      <w:r>
        <w:rPr>
          <w:rFonts w:hint="eastAsia" w:ascii="仿宋" w:hAnsi="仿宋" w:eastAsia="仿宋" w:cs="华文中宋"/>
          <w:b/>
          <w:sz w:val="84"/>
          <w:szCs w:val="84"/>
        </w:rPr>
        <w:t>遴选文件</w:t>
      </w:r>
    </w:p>
    <w:p w14:paraId="066962D4">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14:paraId="1B943342">
      <w:pPr>
        <w:ind w:left="328" w:leftChars="6" w:hanging="315" w:hangingChars="98"/>
        <w:jc w:val="center"/>
        <w:rPr>
          <w:rFonts w:ascii="仿宋" w:hAnsi="仿宋" w:eastAsia="仿宋"/>
          <w:b/>
          <w:sz w:val="32"/>
          <w:szCs w:val="32"/>
        </w:rPr>
      </w:pPr>
    </w:p>
    <w:p w14:paraId="72E8272B">
      <w:pPr>
        <w:snapToGrid w:val="0"/>
        <w:spacing w:line="480" w:lineRule="auto"/>
        <w:ind w:left="328" w:leftChars="6" w:hanging="315" w:hangingChars="98"/>
        <w:rPr>
          <w:rFonts w:ascii="仿宋" w:hAnsi="仿宋" w:eastAsia="仿宋"/>
          <w:b/>
          <w:sz w:val="32"/>
          <w:szCs w:val="32"/>
        </w:rPr>
      </w:pPr>
    </w:p>
    <w:p w14:paraId="7A561A84">
      <w:pPr>
        <w:adjustRightInd w:val="0"/>
        <w:snapToGrid w:val="0"/>
        <w:spacing w:line="360" w:lineRule="auto"/>
        <w:ind w:firstLine="663" w:firstLineChars="15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输尿管支架等耗材</w:t>
      </w:r>
    </w:p>
    <w:p w14:paraId="3C8C1721">
      <w:pPr>
        <w:adjustRightInd w:val="0"/>
        <w:snapToGrid w:val="0"/>
        <w:spacing w:line="360" w:lineRule="auto"/>
        <w:ind w:firstLine="663" w:firstLineChars="150"/>
        <w:outlineLvl w:val="0"/>
        <w:rPr>
          <w:rFonts w:ascii="仿宋" w:hAnsi="仿宋" w:eastAsia="仿宋" w:cs="华文中宋"/>
          <w:b/>
          <w:sz w:val="44"/>
          <w:szCs w:val="44"/>
        </w:rPr>
      </w:pPr>
      <w:bookmarkStart w:id="6" w:name="_Toc19948"/>
      <w:bookmarkStart w:id="7" w:name="_Toc24405"/>
      <w:bookmarkStart w:id="8" w:name="_Toc25426"/>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4</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8</w:t>
      </w:r>
      <w:r>
        <w:rPr>
          <w:rFonts w:hint="eastAsia" w:ascii="仿宋" w:hAnsi="仿宋" w:eastAsia="仿宋" w:cs="华文中宋"/>
          <w:b/>
          <w:sz w:val="44"/>
          <w:szCs w:val="44"/>
        </w:rPr>
        <w:t>号</w:t>
      </w:r>
    </w:p>
    <w:p w14:paraId="728D24F7">
      <w:pPr>
        <w:adjustRightInd w:val="0"/>
        <w:snapToGrid w:val="0"/>
        <w:spacing w:line="360" w:lineRule="auto"/>
        <w:ind w:firstLine="663" w:firstLineChars="150"/>
        <w:outlineLvl w:val="0"/>
        <w:rPr>
          <w:rFonts w:ascii="仿宋" w:hAnsi="仿宋" w:eastAsia="仿宋" w:cs="华文中宋"/>
          <w:b/>
          <w:sz w:val="44"/>
          <w:szCs w:val="44"/>
        </w:rPr>
      </w:pPr>
      <w:bookmarkStart w:id="9" w:name="_Toc1078"/>
      <w:bookmarkStart w:id="10" w:name="_Toc21379"/>
      <w:bookmarkStart w:id="11" w:name="_Toc178"/>
      <w:r>
        <w:rPr>
          <w:rFonts w:hint="eastAsia" w:ascii="仿宋" w:hAnsi="仿宋" w:eastAsia="仿宋" w:cs="华文中宋"/>
          <w:b/>
          <w:sz w:val="44"/>
          <w:szCs w:val="44"/>
        </w:rPr>
        <w:t>遴 选 人：重庆市铜梁区人民医院</w:t>
      </w:r>
      <w:bookmarkEnd w:id="9"/>
      <w:bookmarkEnd w:id="10"/>
      <w:bookmarkEnd w:id="11"/>
    </w:p>
    <w:p w14:paraId="25D065E2">
      <w:pPr>
        <w:rPr>
          <w:rFonts w:ascii="仿宋" w:hAnsi="仿宋" w:eastAsia="仿宋" w:cs="华文中宋"/>
          <w:sz w:val="44"/>
          <w:szCs w:val="44"/>
        </w:rPr>
      </w:pPr>
    </w:p>
    <w:p w14:paraId="49B1C390">
      <w:pPr>
        <w:rPr>
          <w:rFonts w:ascii="仿宋" w:hAnsi="仿宋" w:eastAsia="仿宋" w:cs="华文中宋"/>
          <w:sz w:val="44"/>
          <w:szCs w:val="44"/>
        </w:rPr>
      </w:pPr>
    </w:p>
    <w:p w14:paraId="119DD001">
      <w:pPr>
        <w:rPr>
          <w:rFonts w:ascii="仿宋" w:hAnsi="仿宋" w:eastAsia="仿宋" w:cs="华文中宋"/>
          <w:sz w:val="44"/>
          <w:szCs w:val="44"/>
        </w:rPr>
      </w:pPr>
    </w:p>
    <w:p w14:paraId="1404156B">
      <w:pPr>
        <w:rPr>
          <w:rFonts w:ascii="仿宋" w:hAnsi="仿宋" w:eastAsia="仿宋" w:cs="华文中宋"/>
          <w:sz w:val="44"/>
          <w:szCs w:val="44"/>
        </w:rPr>
      </w:pPr>
    </w:p>
    <w:p w14:paraId="15F74C56">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31576"/>
      <w:bookmarkStart w:id="13" w:name="_Toc30537"/>
      <w:bookmarkStart w:id="14" w:name="_Toc23577"/>
      <w:r>
        <w:rPr>
          <w:rFonts w:hint="eastAsia" w:ascii="仿宋" w:hAnsi="仿宋" w:eastAsia="仿宋" w:cs="华文中宋"/>
          <w:b/>
          <w:sz w:val="28"/>
          <w:szCs w:val="28"/>
        </w:rPr>
        <w:t>重庆市铜梁区人民医院制</w:t>
      </w:r>
      <w:bookmarkEnd w:id="12"/>
      <w:bookmarkEnd w:id="13"/>
      <w:bookmarkEnd w:id="14"/>
    </w:p>
    <w:p w14:paraId="38E60E2C">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27085"/>
      <w:bookmarkStart w:id="16" w:name="_Toc967"/>
      <w:bookmarkStart w:id="17" w:name="_Toc11779"/>
      <w:r>
        <w:rPr>
          <w:rFonts w:hint="eastAsia" w:ascii="仿宋" w:hAnsi="仿宋" w:eastAsia="仿宋" w:cs="华文中宋"/>
          <w:b/>
          <w:sz w:val="36"/>
          <w:szCs w:val="36"/>
        </w:rPr>
        <w:t>二0二</w:t>
      </w:r>
      <w:r>
        <w:rPr>
          <w:rFonts w:hint="eastAsia" w:ascii="仿宋" w:hAnsi="仿宋" w:eastAsia="仿宋" w:cs="华文中宋"/>
          <w:b/>
          <w:sz w:val="36"/>
          <w:szCs w:val="36"/>
          <w:lang w:eastAsia="zh-CN"/>
        </w:rPr>
        <w:t>四</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九</w:t>
      </w:r>
      <w:r>
        <w:rPr>
          <w:rFonts w:hint="eastAsia" w:ascii="仿宋" w:hAnsi="仿宋" w:eastAsia="仿宋" w:cs="华文中宋"/>
          <w:b/>
          <w:sz w:val="36"/>
          <w:szCs w:val="36"/>
        </w:rPr>
        <w:t>月</w:t>
      </w:r>
      <w:bookmarkEnd w:id="15"/>
      <w:bookmarkEnd w:id="16"/>
      <w:bookmarkEnd w:id="17"/>
    </w:p>
    <w:p w14:paraId="21EAB8BD">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14:paraId="3EE2217D">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14:paraId="497AB68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14:paraId="1206D3B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14:paraId="5166D28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14:paraId="7E5A0B3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14:paraId="3BE5735F">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14:paraId="27EBC42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14:paraId="706D6E9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14:paraId="1673080C">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w:t>
      </w:r>
      <w:r>
        <w:rPr>
          <w:rFonts w:hint="eastAsia" w:ascii="方正黑体_GBK" w:hAnsi="方正黑体_GBK" w:eastAsia="方正黑体_GBK" w:cs="方正黑体_GBK"/>
          <w:sz w:val="32"/>
          <w:szCs w:val="32"/>
          <w:shd w:val="clear" w:color="auto" w:fill="FFFFFF"/>
          <w:lang w:val="en-US" w:eastAsia="zh-CN"/>
        </w:rPr>
        <w:t>遴选</w:t>
      </w:r>
      <w:r>
        <w:rPr>
          <w:rFonts w:hint="eastAsia" w:ascii="方正黑体_GBK" w:hAnsi="方正黑体_GBK" w:eastAsia="方正黑体_GBK" w:cs="方正黑体_GBK"/>
          <w:sz w:val="32"/>
          <w:szCs w:val="32"/>
          <w:shd w:val="clear" w:color="auto" w:fill="FFFFFF"/>
        </w:rPr>
        <w:t>的医用耗材试剂品目种类</w:t>
      </w:r>
    </w:p>
    <w:p w14:paraId="12198BB2">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14:paraId="301898ED">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14:paraId="1C2CDEC2">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14:paraId="12F12A8E">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14:paraId="34C6D6FF">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14:paraId="1AE008C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14:paraId="073FD54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14:paraId="7B19E7CD">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14:paraId="511579E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14:paraId="7E76710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14:paraId="7AF99D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14:paraId="4C57E95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14:paraId="30CC8BA3">
      <w:pPr>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br w:type="page"/>
      </w:r>
    </w:p>
    <w:p w14:paraId="7581E8D9">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sectPr>
          <w:pgSz w:w="11906" w:h="16838"/>
          <w:pgMar w:top="1440" w:right="1803" w:bottom="1440" w:left="1803" w:header="851" w:footer="992" w:gutter="0"/>
          <w:pgNumType w:fmt="decimal"/>
          <w:cols w:space="0" w:num="1"/>
          <w:docGrid w:type="lines" w:linePitch="319" w:charSpace="0"/>
        </w:sectPr>
      </w:pPr>
    </w:p>
    <w:p w14:paraId="6AD9CCA5">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w:t>
      </w:r>
      <w:r>
        <w:rPr>
          <w:rFonts w:hint="eastAsia" w:ascii="方正楷体_GBK" w:hAnsi="方正楷体_GBK" w:eastAsia="方正楷体_GBK" w:cs="方正楷体_GBK"/>
          <w:sz w:val="32"/>
          <w:szCs w:val="32"/>
          <w:shd w:val="clear" w:color="auto" w:fill="FFFFFF"/>
          <w:lang w:val="en-US" w:eastAsia="zh-CN"/>
        </w:rPr>
        <w:t>遴选项目</w:t>
      </w:r>
      <w:r>
        <w:rPr>
          <w:rFonts w:hint="eastAsia" w:ascii="方正楷体_GBK" w:hAnsi="方正楷体_GBK" w:eastAsia="方正楷体_GBK" w:cs="方正楷体_GBK"/>
          <w:sz w:val="32"/>
          <w:szCs w:val="32"/>
          <w:shd w:val="clear" w:color="auto" w:fill="FFFFFF"/>
        </w:rPr>
        <w:t>的品目种类</w:t>
      </w:r>
    </w:p>
    <w:tbl>
      <w:tblPr>
        <w:tblStyle w:val="10"/>
        <w:tblpPr w:leftFromText="180" w:rightFromText="180" w:vertAnchor="text" w:horzAnchor="page" w:tblpX="1047" w:tblpY="234"/>
        <w:tblOverlap w:val="never"/>
        <w:tblW w:w="14373" w:type="dxa"/>
        <w:tblInd w:w="0" w:type="dxa"/>
        <w:shd w:val="clear" w:color="auto" w:fill="auto"/>
        <w:tblLayout w:type="fixed"/>
        <w:tblCellMar>
          <w:top w:w="0" w:type="dxa"/>
          <w:left w:w="0" w:type="dxa"/>
          <w:bottom w:w="0" w:type="dxa"/>
          <w:right w:w="0" w:type="dxa"/>
        </w:tblCellMar>
      </w:tblPr>
      <w:tblGrid>
        <w:gridCol w:w="668"/>
        <w:gridCol w:w="1440"/>
        <w:gridCol w:w="1155"/>
        <w:gridCol w:w="1275"/>
        <w:gridCol w:w="585"/>
        <w:gridCol w:w="750"/>
        <w:gridCol w:w="585"/>
        <w:gridCol w:w="2479"/>
        <w:gridCol w:w="3947"/>
        <w:gridCol w:w="904"/>
        <w:gridCol w:w="585"/>
      </w:tblGrid>
      <w:tr w14:paraId="437A83A4">
        <w:tblPrEx>
          <w:shd w:val="clear" w:color="auto" w:fill="auto"/>
          <w:tblCellMar>
            <w:top w:w="0" w:type="dxa"/>
            <w:left w:w="0" w:type="dxa"/>
            <w:bottom w:w="0" w:type="dxa"/>
            <w:right w:w="0" w:type="dxa"/>
          </w:tblCellMar>
        </w:tblPrEx>
        <w:trPr>
          <w:trHeight w:val="867"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135D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分包号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E70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遴选产品名称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53E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医院目前在用品牌</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3CB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医院目前在用规格型号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4A4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D789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单价限价（元）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ED61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预估年用量</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058F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适用范围</w:t>
            </w:r>
          </w:p>
        </w:tc>
        <w:tc>
          <w:tcPr>
            <w:tcW w:w="3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4CD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科室使用需求</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906F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医保编码要求</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02B0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适用科室</w:t>
            </w:r>
          </w:p>
        </w:tc>
      </w:tr>
      <w:tr w14:paraId="1EF6DD47">
        <w:tblPrEx>
          <w:shd w:val="clear" w:color="auto" w:fill="auto"/>
          <w:tblCellMar>
            <w:top w:w="0" w:type="dxa"/>
            <w:left w:w="0" w:type="dxa"/>
            <w:bottom w:w="0" w:type="dxa"/>
            <w:right w:w="0" w:type="dxa"/>
          </w:tblCellMar>
        </w:tblPrEx>
        <w:trPr>
          <w:trHeight w:val="107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F3D60">
            <w:pPr>
              <w:pStyle w:val="9"/>
              <w:widowControl/>
              <w:spacing w:beforeAutospacing="0" w:afterAutospacing="0" w:line="594" w:lineRule="exact"/>
              <w:jc w:val="center"/>
              <w:outlineLvl w:val="0"/>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分包一</w:t>
            </w:r>
          </w:p>
          <w:p w14:paraId="52A112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B66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输尿管支架管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8BB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上海英诺伟</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8C5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IVX-UT-02472610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3F1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E9E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1900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CCD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1450</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7F0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通过微创介入或开放手术置入肾盂与膀胱间，起支架、引流作用。</w:t>
            </w:r>
          </w:p>
        </w:tc>
        <w:tc>
          <w:tcPr>
            <w:tcW w:w="3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B02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①留置时间≥</w:t>
            </w:r>
            <w:r>
              <w:rPr>
                <w:rFonts w:hint="eastAsia" w:asciiTheme="minorEastAsia" w:hAnsiTheme="minorEastAsia" w:cstheme="minorEastAsia"/>
                <w:kern w:val="0"/>
                <w:sz w:val="21"/>
                <w:szCs w:val="21"/>
                <w:shd w:val="clear" w:color="auto" w:fill="FFFFFF"/>
                <w:lang w:val="en-US" w:eastAsia="zh-CN" w:bidi="ar-SA"/>
              </w:rPr>
              <w:t>1</w:t>
            </w:r>
            <w:bookmarkStart w:id="18" w:name="_GoBack"/>
            <w:bookmarkEnd w:id="18"/>
            <w:r>
              <w:rPr>
                <w:rFonts w:hint="eastAsia" w:asciiTheme="minorEastAsia" w:hAnsiTheme="minorEastAsia" w:eastAsiaTheme="minorEastAsia" w:cstheme="minorEastAsia"/>
                <w:kern w:val="0"/>
                <w:sz w:val="21"/>
                <w:szCs w:val="21"/>
                <w:shd w:val="clear" w:color="auto" w:fill="FFFFFF"/>
                <w:lang w:val="en-US" w:eastAsia="zh-CN" w:bidi="ar-SA"/>
              </w:rPr>
              <w:t>月；②X射线下可显影；③型号与规格可满足临床需求。</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ADE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C01030100101013</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216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泌尿外科</w:t>
            </w:r>
          </w:p>
        </w:tc>
      </w:tr>
      <w:tr w14:paraId="2E45050A">
        <w:tblPrEx>
          <w:shd w:val="clear" w:color="auto" w:fill="auto"/>
          <w:tblCellMar>
            <w:top w:w="0" w:type="dxa"/>
            <w:left w:w="0" w:type="dxa"/>
            <w:bottom w:w="0" w:type="dxa"/>
            <w:right w:w="0" w:type="dxa"/>
          </w:tblCellMar>
        </w:tblPrEx>
        <w:trPr>
          <w:trHeight w:val="120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5D618">
            <w:pPr>
              <w:pStyle w:val="9"/>
              <w:widowControl/>
              <w:spacing w:beforeAutospacing="0" w:afterAutospacing="0" w:line="594" w:lineRule="exact"/>
              <w:jc w:val="center"/>
              <w:outlineLvl w:val="0"/>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p w14:paraId="3232B7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40F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非血管腔道导丝</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232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上海英诺伟</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BAA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IVX-UG-13515USO</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067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D67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490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C0F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1450</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85B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在内窥镜下与J型导管和微创扩张引流套件配套使用，起支撑、引导作用。</w:t>
            </w:r>
          </w:p>
        </w:tc>
        <w:tc>
          <w:tcPr>
            <w:tcW w:w="3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92C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①前端球头，（安全性更高）；②亲水涂层；③X射线下可显影；④外径与长度满足临床需求。</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4BB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C01030500302001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468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泌尿外科</w:t>
            </w:r>
          </w:p>
        </w:tc>
      </w:tr>
      <w:tr w14:paraId="65756353">
        <w:tblPrEx>
          <w:shd w:val="clear" w:color="auto" w:fill="auto"/>
          <w:tblCellMar>
            <w:top w:w="0" w:type="dxa"/>
            <w:left w:w="0" w:type="dxa"/>
            <w:bottom w:w="0" w:type="dxa"/>
            <w:right w:w="0" w:type="dxa"/>
          </w:tblCellMar>
        </w:tblPrEx>
        <w:trPr>
          <w:trHeight w:val="120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95F51">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分包三</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0D6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一次性使用输尿管软镜取石套件（扩张管含网篮）</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8EF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株洲瑞邦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FF3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1.7FR/2.2FR</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2E7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78A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2850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2B0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430</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D4B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建立内窥镜等器械进入泌尿道的通路，及取出结石及其他异物。</w:t>
            </w:r>
          </w:p>
        </w:tc>
        <w:tc>
          <w:tcPr>
            <w:tcW w:w="3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F21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①</w:t>
            </w:r>
            <w:r>
              <w:rPr>
                <w:rFonts w:hint="default" w:asciiTheme="minorEastAsia" w:hAnsiTheme="minorEastAsia" w:eastAsiaTheme="minorEastAsia" w:cstheme="minorEastAsia"/>
                <w:kern w:val="0"/>
                <w:sz w:val="21"/>
                <w:szCs w:val="21"/>
                <w:shd w:val="clear" w:color="auto" w:fill="FFFFFF"/>
                <w:lang w:val="en-US" w:eastAsia="zh-CN" w:bidi="ar-SA"/>
              </w:rPr>
              <w:t>有3丝结构网篮或4丝结构网篮。</w:t>
            </w:r>
          </w:p>
          <w:p w14:paraId="2450B5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②</w:t>
            </w:r>
            <w:r>
              <w:rPr>
                <w:rFonts w:hint="default" w:asciiTheme="minorEastAsia" w:hAnsiTheme="minorEastAsia" w:eastAsiaTheme="minorEastAsia" w:cstheme="minorEastAsia"/>
                <w:kern w:val="0"/>
                <w:sz w:val="21"/>
                <w:szCs w:val="21"/>
                <w:shd w:val="clear" w:color="auto" w:fill="FFFFFF"/>
                <w:lang w:val="en-US" w:eastAsia="zh-CN" w:bidi="ar-SA"/>
              </w:rPr>
              <w:t>各连接处应承受15N的静拉力持续10S，应无断裂和脱离现象</w:t>
            </w:r>
            <w:r>
              <w:rPr>
                <w:rFonts w:hint="eastAsia" w:asciiTheme="minorEastAsia" w:hAnsiTheme="minorEastAsia" w:eastAsiaTheme="minorEastAsia" w:cstheme="minorEastAsia"/>
                <w:kern w:val="0"/>
                <w:sz w:val="21"/>
                <w:szCs w:val="21"/>
                <w:shd w:val="clear" w:color="auto" w:fill="FFFFFF"/>
                <w:lang w:val="en-US" w:eastAsia="zh-CN" w:bidi="ar-SA"/>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D7C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C010308019</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256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泌尿外科</w:t>
            </w:r>
          </w:p>
        </w:tc>
      </w:tr>
      <w:tr w14:paraId="24E5BD0A">
        <w:tblPrEx>
          <w:shd w:val="clear" w:color="auto" w:fill="auto"/>
          <w:tblCellMar>
            <w:top w:w="0" w:type="dxa"/>
            <w:left w:w="0" w:type="dxa"/>
            <w:bottom w:w="0" w:type="dxa"/>
            <w:right w:w="0" w:type="dxa"/>
          </w:tblCellMar>
        </w:tblPrEx>
        <w:trPr>
          <w:trHeight w:val="120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708D4">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分包四</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B12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一次性输尿管导引鞘</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F3B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广州维力</w:t>
            </w:r>
            <w:r>
              <w:rPr>
                <w:rFonts w:hint="eastAsia" w:asciiTheme="minorEastAsia" w:hAnsiTheme="minorEastAsia" w:eastAsiaTheme="minorEastAsia" w:cstheme="minorEastAsia"/>
                <w:kern w:val="0"/>
                <w:sz w:val="21"/>
                <w:szCs w:val="21"/>
                <w:shd w:val="clear" w:color="auto" w:fill="FFFFFF"/>
                <w:lang w:val="en-US" w:eastAsia="zh-CN" w:bidi="ar-SA"/>
              </w:rPr>
              <w:t>/南昌沃克/上海英诺伟</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C42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Y型各型号/980系列/IVX-UA-各型号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1DE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8E6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2000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1FF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500</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C4B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用于在泌尿系统内窥镜检查时，建立通道，以便于内窥镜或其他器械进入泌尿道。</w:t>
            </w:r>
          </w:p>
        </w:tc>
        <w:tc>
          <w:tcPr>
            <w:tcW w:w="3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E58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①导管鞘管前端可弯曲段≥10cm，弯曲段具备柔软性和弯曲性能，且导管鞘前端要求3-5mm柔性前端。</w:t>
            </w:r>
          </w:p>
          <w:p w14:paraId="4B0834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BBD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C01031101500003</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33D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泌尿外科</w:t>
            </w:r>
          </w:p>
        </w:tc>
      </w:tr>
      <w:tr w14:paraId="3B70B9FA">
        <w:tblPrEx>
          <w:shd w:val="clear" w:color="auto" w:fill="auto"/>
          <w:tblCellMar>
            <w:top w:w="0" w:type="dxa"/>
            <w:left w:w="0" w:type="dxa"/>
            <w:bottom w:w="0" w:type="dxa"/>
            <w:right w:w="0" w:type="dxa"/>
          </w:tblCellMar>
        </w:tblPrEx>
        <w:trPr>
          <w:trHeight w:val="120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B63C8">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分包五</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87D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经皮穿刺鞘组（一次性使用微创扩张引流套件）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865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广州维力/库利艾特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4B9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Y型/18fr</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CE3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57A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2740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00E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130</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CA0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用于经皮穿刺扩张、放置引流导管或手术器械一次性使用。</w:t>
            </w:r>
          </w:p>
        </w:tc>
        <w:tc>
          <w:tcPr>
            <w:tcW w:w="3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CDA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无</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AC1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C01031903700003</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532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泌尿外科</w:t>
            </w:r>
          </w:p>
        </w:tc>
      </w:tr>
      <w:tr w14:paraId="557C1FCF">
        <w:tblPrEx>
          <w:shd w:val="clear" w:color="auto" w:fill="auto"/>
          <w:tblCellMar>
            <w:top w:w="0" w:type="dxa"/>
            <w:left w:w="0" w:type="dxa"/>
            <w:bottom w:w="0" w:type="dxa"/>
            <w:right w:w="0" w:type="dxa"/>
          </w:tblCellMar>
        </w:tblPrEx>
        <w:trPr>
          <w:trHeight w:val="120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AEA9A">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分包六</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DFA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一次性使用电子输尿管肾盂内窥镜导管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275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新光维</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C47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SUV-2B-B</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BB6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E38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1900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521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1200</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CB7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通过视频监视器提供影像，经尿道插入输尿管、肾盂内，对输尿管、肾盂进行观察、诊断或治疗中成像。</w:t>
            </w:r>
          </w:p>
        </w:tc>
        <w:tc>
          <w:tcPr>
            <w:tcW w:w="3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41B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由中选公司免费提供配套的成像系统</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CF0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C01031800400001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49B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泌尿外科</w:t>
            </w:r>
          </w:p>
        </w:tc>
      </w:tr>
      <w:tr w14:paraId="37C4EFA7">
        <w:tblPrEx>
          <w:shd w:val="clear" w:color="auto" w:fill="auto"/>
          <w:tblCellMar>
            <w:top w:w="0" w:type="dxa"/>
            <w:left w:w="0" w:type="dxa"/>
            <w:bottom w:w="0" w:type="dxa"/>
            <w:right w:w="0" w:type="dxa"/>
          </w:tblCellMar>
        </w:tblPrEx>
        <w:trPr>
          <w:trHeight w:val="120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01302">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7B9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双极环状电极（等离子双极电切电凝系统）</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BBB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珠海市司迈科技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5AF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SM8100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E6B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DA3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2500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D1C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320</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662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用于内窥镜下的组织切割和凝血。</w:t>
            </w:r>
          </w:p>
        </w:tc>
        <w:tc>
          <w:tcPr>
            <w:tcW w:w="3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766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①能够与科室现有设备匹配使用（现用设备厂家：</w:t>
            </w:r>
            <w:r>
              <w:rPr>
                <w:rFonts w:hint="default" w:asciiTheme="minorEastAsia" w:hAnsiTheme="minorEastAsia" w:eastAsiaTheme="minorEastAsia" w:cstheme="minorEastAsia"/>
                <w:kern w:val="0"/>
                <w:sz w:val="21"/>
                <w:szCs w:val="21"/>
                <w:shd w:val="clear" w:color="auto" w:fill="FFFFFF"/>
                <w:lang w:val="en-US" w:eastAsia="zh-CN" w:bidi="ar-SA"/>
              </w:rPr>
              <w:t>珠海司迈</w:t>
            </w:r>
            <w:r>
              <w:rPr>
                <w:rFonts w:hint="eastAsia" w:asciiTheme="minorEastAsia" w:hAnsiTheme="minorEastAsia" w:eastAsiaTheme="minorEastAsia" w:cstheme="minorEastAsia"/>
                <w:kern w:val="0"/>
                <w:sz w:val="21"/>
                <w:szCs w:val="21"/>
                <w:shd w:val="clear" w:color="auto" w:fill="FFFFFF"/>
                <w:lang w:val="en-US" w:eastAsia="zh-CN" w:bidi="ar-SA"/>
              </w:rPr>
              <w:t>；型号：SM10 ）</w:t>
            </w:r>
          </w:p>
          <w:p w14:paraId="0EB6E6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②电极与连接线为一体式，具有切割与止血功能。</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ED0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C01031604000002</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4BF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泌尿外科</w:t>
            </w:r>
          </w:p>
        </w:tc>
      </w:tr>
    </w:tbl>
    <w:p w14:paraId="217FC4A6">
      <w:pPr>
        <w:pStyle w:val="9"/>
        <w:widowControl/>
        <w:spacing w:beforeAutospacing="0" w:afterAutospacing="0" w:line="594" w:lineRule="exact"/>
        <w:ind w:firstLine="420" w:firstLineChars="200"/>
        <w:jc w:val="center"/>
        <w:outlineLvl w:val="0"/>
        <w:rPr>
          <w:rFonts w:hint="eastAsia" w:asciiTheme="minorEastAsia" w:hAnsiTheme="minorEastAsia" w:eastAsiaTheme="minorEastAsia" w:cstheme="minorEastAsia"/>
          <w:kern w:val="0"/>
          <w:sz w:val="21"/>
          <w:szCs w:val="21"/>
          <w:shd w:val="clear" w:color="auto" w:fill="FFFFFF"/>
          <w:lang w:val="en-US" w:eastAsia="zh-CN" w:bidi="ar-SA"/>
        </w:rPr>
      </w:pPr>
    </w:p>
    <w:p w14:paraId="31F1147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p>
    <w:p w14:paraId="0C071BC6">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14:paraId="3274A9F3">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sectPr>
          <w:pgSz w:w="16838" w:h="11906" w:orient="landscape"/>
          <w:pgMar w:top="1417" w:right="1440" w:bottom="1417" w:left="1440" w:header="851" w:footer="992" w:gutter="0"/>
          <w:pgNumType w:fmt="decimal"/>
          <w:cols w:space="0" w:num="1"/>
          <w:rtlGutter w:val="0"/>
          <w:docGrid w:type="lines" w:linePitch="319" w:charSpace="0"/>
        </w:sectPr>
      </w:pPr>
    </w:p>
    <w:p w14:paraId="3AAC7597">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14:paraId="1BD5FA0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14:paraId="3B91FB3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14:paraId="686FE966">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14:paraId="2B2136ED">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14:paraId="3F428862">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样品，供医院测试核验是否符合本院的医疗质量与安全基本要求（样品测试核验后医院不予退回）。</w:t>
      </w:r>
    </w:p>
    <w:p w14:paraId="367E017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6.参与遴选的产品医保耗材分类代码前十五位必须与上表所公示的一致，且参与遴选的产品必须是在重庆医保局备案的产品，提供27位的医保编码。</w:t>
      </w:r>
    </w:p>
    <w:p w14:paraId="2759BED8">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eastAsia="zh-CN" w:bidi="ar"/>
        </w:rPr>
      </w:pPr>
      <w:r>
        <w:rPr>
          <w:rFonts w:hint="eastAsia" w:ascii="宋体" w:hAnsi="宋体" w:eastAsia="宋体" w:cs="宋体"/>
          <w:b/>
          <w:bCs/>
          <w:color w:val="000000"/>
          <w:kern w:val="0"/>
          <w:sz w:val="28"/>
          <w:szCs w:val="28"/>
          <w:lang w:val="en-US" w:eastAsia="zh-CN" w:bidi="ar"/>
        </w:rPr>
        <w:t>7</w:t>
      </w:r>
      <w:r>
        <w:rPr>
          <w:rFonts w:hint="eastAsia" w:ascii="宋体" w:hAnsi="宋体" w:eastAsia="宋体" w:cs="宋体"/>
          <w:b/>
          <w:bCs/>
          <w:color w:val="000000"/>
          <w:kern w:val="0"/>
          <w:sz w:val="28"/>
          <w:szCs w:val="28"/>
          <w:lang w:bidi="ar"/>
        </w:rPr>
        <w:t>.上述</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型号是我院在用</w:t>
      </w:r>
      <w:r>
        <w:rPr>
          <w:rFonts w:hint="eastAsia" w:ascii="宋体" w:hAnsi="宋体" w:eastAsia="宋体" w:cs="宋体"/>
          <w:b/>
          <w:bCs/>
          <w:color w:val="000000"/>
          <w:kern w:val="0"/>
          <w:sz w:val="28"/>
          <w:szCs w:val="28"/>
          <w:lang w:eastAsia="zh-CN" w:bidi="ar"/>
        </w:rPr>
        <w:t>生产厂家</w:t>
      </w:r>
      <w:r>
        <w:rPr>
          <w:rFonts w:hint="eastAsia" w:ascii="宋体" w:hAnsi="宋体" w:eastAsia="宋体" w:cs="宋体"/>
          <w:b/>
          <w:bCs/>
          <w:color w:val="000000"/>
          <w:kern w:val="0"/>
          <w:sz w:val="28"/>
          <w:szCs w:val="28"/>
          <w:lang w:bidi="ar"/>
        </w:rPr>
        <w:t>型号，参与人推介产品</w:t>
      </w:r>
      <w:r>
        <w:rPr>
          <w:rFonts w:hint="eastAsia" w:ascii="宋体" w:hAnsi="宋体" w:eastAsia="宋体" w:cs="宋体"/>
          <w:b/>
          <w:bCs/>
          <w:color w:val="000000"/>
          <w:kern w:val="0"/>
          <w:sz w:val="28"/>
          <w:szCs w:val="28"/>
          <w:lang w:eastAsia="zh-CN" w:bidi="ar"/>
        </w:rPr>
        <w:t>的生产厂家</w:t>
      </w:r>
      <w:r>
        <w:rPr>
          <w:rFonts w:hint="eastAsia" w:ascii="宋体" w:hAnsi="宋体" w:eastAsia="宋体" w:cs="宋体"/>
          <w:b/>
          <w:bCs/>
          <w:color w:val="000000"/>
          <w:kern w:val="0"/>
          <w:sz w:val="28"/>
          <w:szCs w:val="28"/>
          <w:lang w:bidi="ar"/>
        </w:rPr>
        <w:t>及型号可与上表中不一致，但作用、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范围、功能必须与该</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型号的产品作用、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范围、功能一致</w:t>
      </w:r>
      <w:r>
        <w:rPr>
          <w:rFonts w:hint="eastAsia" w:ascii="宋体" w:hAnsi="宋体" w:eastAsia="宋体" w:cs="宋体"/>
          <w:b/>
          <w:bCs/>
          <w:color w:val="000000"/>
          <w:kern w:val="0"/>
          <w:sz w:val="28"/>
          <w:szCs w:val="28"/>
          <w:lang w:eastAsia="zh-CN" w:bidi="ar"/>
        </w:rPr>
        <w:t>。</w:t>
      </w:r>
    </w:p>
    <w:p w14:paraId="273D1155">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14:paraId="10E1D78C">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rtlGutter w:val="0"/>
          <w:docGrid w:type="lines" w:linePitch="319" w:charSpace="0"/>
        </w:sectPr>
      </w:pPr>
    </w:p>
    <w:p w14:paraId="5D1E716B">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14:paraId="063437FD">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14:paraId="17B82078">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0"/>
        <w:tblW w:w="8765" w:type="dxa"/>
        <w:tblInd w:w="0" w:type="dxa"/>
        <w:tblLayout w:type="fixed"/>
        <w:tblCellMar>
          <w:top w:w="0" w:type="dxa"/>
          <w:left w:w="0" w:type="dxa"/>
          <w:bottom w:w="0" w:type="dxa"/>
          <w:right w:w="0" w:type="dxa"/>
        </w:tblCellMar>
      </w:tblPr>
      <w:tblGrid>
        <w:gridCol w:w="2385"/>
        <w:gridCol w:w="6380"/>
      </w:tblGrid>
      <w:tr w14:paraId="55072564">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14:paraId="38D5BB46">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14:paraId="6C6E06D0">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14:paraId="44BCF002">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14:paraId="792443DD">
        <w:tblPrEx>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5E07EE">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034D1AC">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8</w:t>
            </w:r>
            <w:r>
              <w:rPr>
                <w:rFonts w:hint="eastAsia" w:ascii="方正仿宋_GBK" w:hAnsi="方正仿宋_GBK" w:eastAsia="方正仿宋_GBK" w:cs="方正仿宋_GBK"/>
                <w:kern w:val="0"/>
                <w:sz w:val="32"/>
                <w:szCs w:val="32"/>
                <w:shd w:val="clear" w:color="auto" w:fill="FFFFFF"/>
                <w:lang w:bidi="ar"/>
              </w:rPr>
              <w:t>号</w:t>
            </w:r>
          </w:p>
        </w:tc>
      </w:tr>
      <w:tr w14:paraId="2FFD61A2">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0373EDC">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3CA279">
            <w:pPr>
              <w:jc w:val="left"/>
              <w:rPr>
                <w:rFonts w:ascii="方正仿宋_GBK" w:hAnsi="方正仿宋_GBK" w:eastAsia="方正仿宋_GBK" w:cs="方正仿宋_GBK"/>
                <w:kern w:val="0"/>
                <w:sz w:val="32"/>
                <w:szCs w:val="32"/>
                <w:shd w:val="clear" w:color="auto" w:fill="FFFFFF"/>
                <w:lang w:bidi="ar"/>
              </w:rPr>
            </w:pPr>
          </w:p>
        </w:tc>
      </w:tr>
      <w:tr w14:paraId="175D5F0A">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7D9582">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BFFACB">
            <w:pPr>
              <w:jc w:val="left"/>
              <w:rPr>
                <w:rFonts w:ascii="方正仿宋_GBK" w:hAnsi="方正仿宋_GBK" w:eastAsia="方正仿宋_GBK" w:cs="方正仿宋_GBK"/>
                <w:kern w:val="0"/>
                <w:sz w:val="32"/>
                <w:szCs w:val="32"/>
                <w:shd w:val="clear" w:color="auto" w:fill="FFFFFF"/>
                <w:lang w:bidi="ar"/>
              </w:rPr>
            </w:pPr>
          </w:p>
        </w:tc>
      </w:tr>
      <w:tr w14:paraId="45708D99">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8E18CF">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83F0740">
            <w:pPr>
              <w:rPr>
                <w:rFonts w:ascii="方正仿宋_GBK" w:hAnsi="方正仿宋_GBK" w:eastAsia="方正仿宋_GBK" w:cs="方正仿宋_GBK"/>
                <w:kern w:val="0"/>
                <w:sz w:val="32"/>
                <w:szCs w:val="32"/>
                <w:shd w:val="clear" w:color="auto" w:fill="FFFFFF"/>
                <w:lang w:bidi="ar"/>
              </w:rPr>
            </w:pPr>
          </w:p>
        </w:tc>
      </w:tr>
    </w:tbl>
    <w:p w14:paraId="473A5EA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14:paraId="2D1C8C0C">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14:paraId="581714A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14:paraId="1AE02A8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14:paraId="23667BC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14:paraId="3583C3D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14:paraId="407A49F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14:paraId="69941DF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14:paraId="01446F6A">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14:paraId="5F3A9DC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14:paraId="3C1DD076">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14:paraId="659FCB4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14:paraId="76AA8273">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14:paraId="7598189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14:paraId="3B877BE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14:paraId="5150AC44">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14:paraId="234D0B8C">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14:paraId="02C90A96">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14:paraId="433129B0">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14:paraId="109164F8">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14:paraId="4937AF2F">
      <w:pPr>
        <w:spacing w:line="594" w:lineRule="exact"/>
        <w:rPr>
          <w:rFonts w:hint="eastAsia" w:ascii="方正仿宋_GBK" w:hAnsi="方正仿宋_GBK" w:eastAsia="方正仿宋_GBK" w:cs="方正仿宋_GBK"/>
          <w:color w:val="666666"/>
          <w:sz w:val="32"/>
          <w:szCs w:val="32"/>
          <w:shd w:val="clear" w:color="auto" w:fill="FFFFFF"/>
          <w:lang w:eastAsia="zh-CN"/>
        </w:r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仿宋_GBK" w:hAnsi="方正仿宋_GBK" w:eastAsia="方正仿宋_GBK" w:cs="方正仿宋_GBK"/>
          <w:color w:val="666666"/>
          <w:sz w:val="32"/>
          <w:szCs w:val="32"/>
          <w:shd w:val="clear" w:color="auto" w:fill="FFFFFF"/>
          <w:lang w:eastAsia="zh-CN"/>
        </w:rPr>
        <w:t>。</w:t>
      </w:r>
    </w:p>
    <w:p w14:paraId="1BADBAC4">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440" w:right="1803" w:bottom="1440" w:left="1803" w:header="851" w:footer="992" w:gutter="0"/>
          <w:pgNumType w:fmt="decimal"/>
          <w:cols w:space="0" w:num="1"/>
          <w:rtlGutter w:val="0"/>
          <w:docGrid w:type="lines" w:linePitch="319" w:charSpace="0"/>
        </w:sectPr>
      </w:pPr>
    </w:p>
    <w:p w14:paraId="0C89683A">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0"/>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14:paraId="45369A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14:paraId="508C0378">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14:paraId="4B2D78B0">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14:paraId="62FAE4C1">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14:paraId="221C8A36">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14:paraId="24600319">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14:paraId="3BF24C92">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14:paraId="65BC5D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14:paraId="3476568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14:paraId="6E62DD1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14:paraId="201CBACF">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14:paraId="71FC3B94">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14:paraId="7E142F35">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14:paraId="1DF28153">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14:paraId="09F663C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14:paraId="78010C84">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14:paraId="3D88105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14:paraId="4D0A9AD5">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14:paraId="32BA0CB6">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14:paraId="45D8F4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14:paraId="4775E73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14:paraId="48241591">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14:paraId="2FD39A3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14:paraId="3386524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14:paraId="6A1DBDF3">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14:paraId="52707E3A">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14:paraId="75D104F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14:paraId="513BAA3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14:paraId="711DD03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14:paraId="3888AF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14:paraId="37FC4DA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14:paraId="379B29E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14:paraId="57E7C3BD">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14:paraId="7809D3C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14:paraId="547C5855">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14:paraId="7799D60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14:paraId="08E82C2D">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14:paraId="2567E6F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文</w:t>
      </w:r>
      <w:r>
        <w:rPr>
          <w:rFonts w:hint="eastAsia" w:ascii="方正仿宋_GBK" w:hAnsi="方正仿宋_GBK" w:eastAsia="方正仿宋_GBK" w:cs="方正仿宋_GBK"/>
          <w:sz w:val="32"/>
          <w:szCs w:val="32"/>
          <w:shd w:val="clear" w:color="auto" w:fill="FFFFFF"/>
        </w:rPr>
        <w:t>老师</w:t>
      </w:r>
    </w:p>
    <w:p w14:paraId="17A67D04">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联系方式: 023-45656920</w:t>
      </w:r>
    </w:p>
    <w:p w14:paraId="5D5102C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kern w:val="0"/>
          <w:sz w:val="32"/>
          <w:szCs w:val="32"/>
          <w:shd w:val="clear" w:color="auto" w:fill="FFFFFF"/>
          <w:lang w:val="en-US" w:eastAsia="zh-CN" w:bidi="ar"/>
        </w:rPr>
        <w:t>1099638275@qq.com</w:t>
      </w:r>
    </w:p>
    <w:p w14:paraId="64CFAC1A">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王主任</w:t>
      </w:r>
    </w:p>
    <w:p w14:paraId="24ABE866">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13509426816</w:t>
      </w:r>
    </w:p>
    <w:p w14:paraId="30E5286F">
      <w:pPr>
        <w:pStyle w:val="4"/>
        <w:sectPr>
          <w:pgSz w:w="11906" w:h="16838"/>
          <w:pgMar w:top="1440" w:right="1803" w:bottom="1440" w:left="1803" w:header="851" w:footer="992" w:gutter="0"/>
          <w:pgNumType w:fmt="decimal"/>
          <w:cols w:space="0" w:num="1"/>
          <w:rtlGutter w:val="0"/>
          <w:docGrid w:type="lines" w:linePitch="319" w:charSpace="0"/>
        </w:sectPr>
      </w:pPr>
    </w:p>
    <w:p w14:paraId="03075146">
      <w:pPr>
        <w:pStyle w:val="4"/>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14:paraId="4D741431">
      <w:pPr>
        <w:rPr>
          <w:rFonts w:hint="eastAsia" w:ascii="方正楷体_GBK" w:hAnsi="方正楷体_GBK" w:eastAsia="方正楷体_GBK" w:cs="方正楷体_GBK"/>
          <w:kern w:val="0"/>
          <w:sz w:val="32"/>
          <w:szCs w:val="32"/>
          <w:shd w:val="clear" w:color="auto" w:fill="FFFFFF"/>
          <w:lang w:val="en-US" w:eastAsia="zh-CN" w:bidi="ar"/>
        </w:rPr>
      </w:pPr>
      <w:r>
        <w:rPr>
          <w:rFonts w:hint="eastAsia" w:ascii="方正楷体_GBK" w:hAnsi="方正楷体_GBK" w:eastAsia="方正楷体_GBK" w:cs="方正楷体_GBK"/>
          <w:kern w:val="0"/>
          <w:sz w:val="32"/>
          <w:szCs w:val="32"/>
          <w:shd w:val="clear" w:color="auto" w:fill="FFFFFF"/>
          <w:lang w:val="en-US" w:eastAsia="zh-CN" w:bidi="ar"/>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14:paraId="635D5058">
      <w:pPr>
        <w:rPr>
          <w:rFonts w:hint="eastAsia" w:ascii="方正楷体_GBK" w:hAnsi="方正楷体_GBK" w:eastAsia="方正楷体_GBK" w:cs="方正楷体_GBK"/>
          <w:kern w:val="0"/>
          <w:sz w:val="32"/>
          <w:szCs w:val="32"/>
          <w:shd w:val="clear" w:color="auto" w:fill="FFFFFF"/>
          <w:lang w:val="en-US" w:eastAsia="zh-CN" w:bidi="ar"/>
        </w:rPr>
        <w:sectPr>
          <w:pgSz w:w="11906" w:h="16838"/>
          <w:pgMar w:top="1440" w:right="1803" w:bottom="1440" w:left="1803" w:header="851" w:footer="992" w:gutter="0"/>
          <w:pgNumType w:fmt="decimal"/>
          <w:cols w:space="0" w:num="1"/>
          <w:rtlGutter w:val="0"/>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1099638275@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14:paraId="0BCBA5E6">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3</w:t>
      </w:r>
      <w:r>
        <w:rPr>
          <w:rFonts w:hint="eastAsia" w:ascii="仿宋" w:hAnsi="仿宋" w:eastAsia="仿宋" w:cs="仿宋"/>
          <w:color w:val="666666"/>
          <w:sz w:val="24"/>
          <w:shd w:val="clear" w:color="auto" w:fill="FFFFFF"/>
        </w:rPr>
        <w:t>：</w:t>
      </w:r>
    </w:p>
    <w:p w14:paraId="39F0E050">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14:paraId="0D3CF198">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14:paraId="6E00AE0E">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14:paraId="093F38B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14:paraId="49117E4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14:paraId="7BE22338">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14:paraId="7C5C010D">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14:paraId="6B6D0815">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14:paraId="52876A57">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14:paraId="710C26C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14:paraId="2B0EA0E4">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14:paraId="6F762FA9">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14:paraId="33A674B3">
      <w:pPr>
        <w:spacing w:line="400" w:lineRule="exact"/>
        <w:ind w:firstLine="560" w:firstLineChars="200"/>
        <w:rPr>
          <w:rFonts w:ascii="方正仿宋_GBK" w:hAnsi="方正仿宋_GBK" w:eastAsia="方正仿宋_GBK" w:cs="方正仿宋_GBK"/>
          <w:kern w:val="0"/>
          <w:sz w:val="28"/>
          <w:szCs w:val="28"/>
        </w:rPr>
      </w:pPr>
    </w:p>
    <w:p w14:paraId="7D2E119E">
      <w:pPr>
        <w:spacing w:line="400" w:lineRule="exact"/>
        <w:ind w:firstLine="560" w:firstLineChars="200"/>
        <w:rPr>
          <w:rFonts w:ascii="方正仿宋_GBK" w:hAnsi="方正仿宋_GBK" w:eastAsia="方正仿宋_GBK" w:cs="方正仿宋_GBK"/>
          <w:kern w:val="0"/>
          <w:sz w:val="28"/>
          <w:szCs w:val="28"/>
        </w:rPr>
      </w:pPr>
    </w:p>
    <w:p w14:paraId="6C4DF537">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14:paraId="7120AB1C">
      <w:pPr>
        <w:spacing w:line="400" w:lineRule="exact"/>
        <w:ind w:firstLine="560" w:firstLineChars="200"/>
        <w:rPr>
          <w:rFonts w:ascii="方正仿宋_GBK" w:hAnsi="方正仿宋_GBK" w:eastAsia="方正仿宋_GBK" w:cs="方正仿宋_GBK"/>
          <w:kern w:val="0"/>
          <w:sz w:val="28"/>
          <w:szCs w:val="28"/>
        </w:rPr>
      </w:pPr>
    </w:p>
    <w:p w14:paraId="62BD6AFB">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14:paraId="28424D47">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pgNumType w:fmt="decimal"/>
          <w:cols w:space="0" w:num="1"/>
          <w:rtlGutter w:val="0"/>
          <w:docGrid w:type="lines" w:linePitch="319" w:charSpace="0"/>
        </w:sectPr>
      </w:pPr>
      <w:r>
        <w:rPr>
          <w:rFonts w:hint="eastAsia" w:ascii="方正仿宋_GBK" w:hAnsi="方正仿宋_GBK" w:eastAsia="方正仿宋_GBK" w:cs="方正仿宋_GBK"/>
          <w:kern w:val="0"/>
          <w:sz w:val="28"/>
          <w:szCs w:val="28"/>
        </w:rPr>
        <w:t xml:space="preserve">                                    年   月   日</w:t>
      </w:r>
    </w:p>
    <w:p w14:paraId="78C42493">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C96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778B4">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1778B4">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8AC4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2NmIxMTEyNjg0YTg2MGM0YmUxYzM1ZWFlNjQ3YTI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5B2944"/>
    <w:rsid w:val="06C60D71"/>
    <w:rsid w:val="0A4D4E1A"/>
    <w:rsid w:val="0C233F32"/>
    <w:rsid w:val="0F375B0D"/>
    <w:rsid w:val="11B8311C"/>
    <w:rsid w:val="1368716E"/>
    <w:rsid w:val="15EA028F"/>
    <w:rsid w:val="186A3C16"/>
    <w:rsid w:val="187004C1"/>
    <w:rsid w:val="19E75136"/>
    <w:rsid w:val="1B2E1F2F"/>
    <w:rsid w:val="1C3B5ADA"/>
    <w:rsid w:val="1CC24D43"/>
    <w:rsid w:val="1D095D80"/>
    <w:rsid w:val="1DF84B02"/>
    <w:rsid w:val="1EDD6F03"/>
    <w:rsid w:val="1F3F4684"/>
    <w:rsid w:val="1FC14756"/>
    <w:rsid w:val="22B74101"/>
    <w:rsid w:val="23766A7B"/>
    <w:rsid w:val="23EE3F4D"/>
    <w:rsid w:val="25EB176A"/>
    <w:rsid w:val="27B51031"/>
    <w:rsid w:val="282F2169"/>
    <w:rsid w:val="28634F81"/>
    <w:rsid w:val="2913501D"/>
    <w:rsid w:val="2937657E"/>
    <w:rsid w:val="29C05316"/>
    <w:rsid w:val="2A8953E4"/>
    <w:rsid w:val="2EBD7BE6"/>
    <w:rsid w:val="330F71A0"/>
    <w:rsid w:val="33E464A2"/>
    <w:rsid w:val="35036AA1"/>
    <w:rsid w:val="357905CB"/>
    <w:rsid w:val="358513D9"/>
    <w:rsid w:val="36196090"/>
    <w:rsid w:val="362C24D2"/>
    <w:rsid w:val="3680137C"/>
    <w:rsid w:val="374928B9"/>
    <w:rsid w:val="38EA0ECE"/>
    <w:rsid w:val="3A791B6D"/>
    <w:rsid w:val="3B6A3B47"/>
    <w:rsid w:val="3EF400BE"/>
    <w:rsid w:val="3F6B203E"/>
    <w:rsid w:val="401A339B"/>
    <w:rsid w:val="432D34AD"/>
    <w:rsid w:val="43511956"/>
    <w:rsid w:val="46C84138"/>
    <w:rsid w:val="48002A7E"/>
    <w:rsid w:val="49D32487"/>
    <w:rsid w:val="4AB74A93"/>
    <w:rsid w:val="4D1601A0"/>
    <w:rsid w:val="4D6C500D"/>
    <w:rsid w:val="509937A3"/>
    <w:rsid w:val="522949EF"/>
    <w:rsid w:val="528457B4"/>
    <w:rsid w:val="52C7243B"/>
    <w:rsid w:val="53B50C25"/>
    <w:rsid w:val="54CC3EFB"/>
    <w:rsid w:val="56350AD7"/>
    <w:rsid w:val="573C2832"/>
    <w:rsid w:val="57B3573F"/>
    <w:rsid w:val="57D305A7"/>
    <w:rsid w:val="5AA86F4D"/>
    <w:rsid w:val="5B7A2DD4"/>
    <w:rsid w:val="5D91216F"/>
    <w:rsid w:val="604518C4"/>
    <w:rsid w:val="60B66CB8"/>
    <w:rsid w:val="60F32790"/>
    <w:rsid w:val="61B5050F"/>
    <w:rsid w:val="63722379"/>
    <w:rsid w:val="63883B68"/>
    <w:rsid w:val="638A0356"/>
    <w:rsid w:val="63E24175"/>
    <w:rsid w:val="649840F8"/>
    <w:rsid w:val="654224FB"/>
    <w:rsid w:val="654D52C4"/>
    <w:rsid w:val="668900E2"/>
    <w:rsid w:val="67083DE1"/>
    <w:rsid w:val="6B287715"/>
    <w:rsid w:val="6C4966FA"/>
    <w:rsid w:val="6C5C19DE"/>
    <w:rsid w:val="6DEE05F8"/>
    <w:rsid w:val="70815715"/>
    <w:rsid w:val="731A1A89"/>
    <w:rsid w:val="735C6E39"/>
    <w:rsid w:val="752010CE"/>
    <w:rsid w:val="754430EE"/>
    <w:rsid w:val="756A41FF"/>
    <w:rsid w:val="760778C3"/>
    <w:rsid w:val="768547A0"/>
    <w:rsid w:val="769727FB"/>
    <w:rsid w:val="76AF684A"/>
    <w:rsid w:val="76C17B77"/>
    <w:rsid w:val="799D3E0C"/>
    <w:rsid w:val="7D40198C"/>
    <w:rsid w:val="7D753D57"/>
    <w:rsid w:val="7F105956"/>
    <w:rsid w:val="7FB7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FollowedHyperlink"/>
    <w:basedOn w:val="11"/>
    <w:qFormat/>
    <w:uiPriority w:val="0"/>
    <w:rPr>
      <w:rFonts w:ascii="Helvetica" w:hAnsi="Helvetica" w:eastAsia="Helvetica" w:cs="Helvetica"/>
      <w:color w:val="666666"/>
      <w:sz w:val="18"/>
      <w:szCs w:val="18"/>
      <w:u w:val="none"/>
      <w:shd w:val="clear" w:color="auto" w:fill="2469AA"/>
    </w:rPr>
  </w:style>
  <w:style w:type="character" w:styleId="13">
    <w:name w:val="Emphasis"/>
    <w:basedOn w:val="11"/>
    <w:qFormat/>
    <w:uiPriority w:val="0"/>
  </w:style>
  <w:style w:type="character" w:styleId="14">
    <w:name w:val="HTML Definition"/>
    <w:basedOn w:val="11"/>
    <w:qFormat/>
    <w:uiPriority w:val="0"/>
    <w:rPr>
      <w:sz w:val="0"/>
      <w:szCs w:val="0"/>
      <w:bdr w:val="single" w:color="auto" w:sz="48" w:space="0"/>
    </w:rPr>
  </w:style>
  <w:style w:type="character" w:styleId="15">
    <w:name w:val="HTML Acronym"/>
    <w:basedOn w:val="11"/>
    <w:qFormat/>
    <w:uiPriority w:val="0"/>
  </w:style>
  <w:style w:type="character" w:styleId="16">
    <w:name w:val="HTML Variable"/>
    <w:basedOn w:val="11"/>
    <w:qFormat/>
    <w:uiPriority w:val="0"/>
  </w:style>
  <w:style w:type="character" w:styleId="17">
    <w:name w:val="Hyperlink"/>
    <w:basedOn w:val="11"/>
    <w:qFormat/>
    <w:uiPriority w:val="0"/>
    <w:rPr>
      <w:color w:val="666666"/>
      <w:u w:val="none"/>
    </w:rPr>
  </w:style>
  <w:style w:type="character" w:styleId="18">
    <w:name w:val="HTML Code"/>
    <w:basedOn w:val="11"/>
    <w:qFormat/>
    <w:uiPriority w:val="0"/>
    <w:rPr>
      <w:rFonts w:ascii="Courier New" w:hAnsi="Courier New"/>
      <w:sz w:val="20"/>
    </w:rPr>
  </w:style>
  <w:style w:type="character" w:styleId="19">
    <w:name w:val="HTML Cite"/>
    <w:basedOn w:val="11"/>
    <w:qFormat/>
    <w:uiPriority w:val="0"/>
  </w:style>
  <w:style w:type="character" w:customStyle="1" w:styleId="20">
    <w:name w:val="state-being"/>
    <w:basedOn w:val="11"/>
    <w:qFormat/>
    <w:uiPriority w:val="0"/>
    <w:rPr>
      <w:color w:val="00C400"/>
    </w:rPr>
  </w:style>
  <w:style w:type="character" w:customStyle="1" w:styleId="21">
    <w:name w:val="jiaobox"/>
    <w:basedOn w:val="11"/>
    <w:qFormat/>
    <w:uiPriority w:val="0"/>
  </w:style>
  <w:style w:type="character" w:customStyle="1" w:styleId="22">
    <w:name w:val="l-btn-text"/>
    <w:basedOn w:val="11"/>
    <w:qFormat/>
    <w:uiPriority w:val="0"/>
    <w:rPr>
      <w:color w:val="0B80C4"/>
    </w:rPr>
  </w:style>
  <w:style w:type="character" w:customStyle="1" w:styleId="23">
    <w:name w:val="but_right"/>
    <w:basedOn w:val="11"/>
    <w:qFormat/>
    <w:uiPriority w:val="0"/>
  </w:style>
  <w:style w:type="character" w:customStyle="1" w:styleId="24">
    <w:name w:val="cancel-order"/>
    <w:basedOn w:val="11"/>
    <w:qFormat/>
    <w:uiPriority w:val="0"/>
  </w:style>
  <w:style w:type="character" w:customStyle="1" w:styleId="25">
    <w:name w:val="state-wait"/>
    <w:basedOn w:val="11"/>
    <w:qFormat/>
    <w:uiPriority w:val="0"/>
    <w:rPr>
      <w:color w:val="1C9CE7"/>
    </w:rPr>
  </w:style>
  <w:style w:type="character" w:customStyle="1" w:styleId="26">
    <w:name w:val="pagenum-text"/>
    <w:basedOn w:val="11"/>
    <w:qFormat/>
    <w:uiPriority w:val="0"/>
    <w:rPr>
      <w:sz w:val="18"/>
      <w:szCs w:val="18"/>
    </w:rPr>
  </w:style>
  <w:style w:type="character" w:customStyle="1" w:styleId="27">
    <w:name w:val="pwd-grade1"/>
    <w:basedOn w:val="11"/>
    <w:qFormat/>
    <w:uiPriority w:val="0"/>
    <w:rPr>
      <w:shd w:val="clear" w:color="auto" w:fill="FF3304"/>
    </w:rPr>
  </w:style>
  <w:style w:type="character" w:customStyle="1" w:styleId="28">
    <w:name w:val="pwd-grade11"/>
    <w:basedOn w:val="11"/>
    <w:qFormat/>
    <w:uiPriority w:val="0"/>
    <w:rPr>
      <w:shd w:val="clear" w:color="auto" w:fill="FF3301"/>
    </w:rPr>
  </w:style>
  <w:style w:type="character" w:customStyle="1" w:styleId="29">
    <w:name w:val="pwd-grade12"/>
    <w:basedOn w:val="11"/>
    <w:qFormat/>
    <w:uiPriority w:val="0"/>
    <w:rPr>
      <w:shd w:val="clear" w:color="auto" w:fill="FF3301"/>
    </w:rPr>
  </w:style>
  <w:style w:type="character" w:customStyle="1" w:styleId="30">
    <w:name w:val="pwd-grade2"/>
    <w:basedOn w:val="11"/>
    <w:qFormat/>
    <w:uiPriority w:val="0"/>
    <w:rPr>
      <w:shd w:val="clear" w:color="auto" w:fill="BFBFBF"/>
    </w:rPr>
  </w:style>
  <w:style w:type="character" w:customStyle="1" w:styleId="31">
    <w:name w:val="pwd-grade21"/>
    <w:basedOn w:val="11"/>
    <w:qFormat/>
    <w:uiPriority w:val="0"/>
    <w:rPr>
      <w:shd w:val="clear" w:color="auto" w:fill="0B80C4"/>
    </w:rPr>
  </w:style>
  <w:style w:type="character" w:customStyle="1" w:styleId="32">
    <w:name w:val="pwd-grade22"/>
    <w:basedOn w:val="11"/>
    <w:qFormat/>
    <w:uiPriority w:val="0"/>
    <w:rPr>
      <w:shd w:val="clear" w:color="auto" w:fill="0B80C4"/>
    </w:rPr>
  </w:style>
  <w:style w:type="character" w:customStyle="1" w:styleId="33">
    <w:name w:val="pwd-grade3"/>
    <w:basedOn w:val="11"/>
    <w:qFormat/>
    <w:uiPriority w:val="0"/>
    <w:rPr>
      <w:shd w:val="clear" w:color="auto" w:fill="BFBFBF"/>
    </w:rPr>
  </w:style>
  <w:style w:type="character" w:customStyle="1" w:styleId="34">
    <w:name w:val="pwd-grade31"/>
    <w:basedOn w:val="11"/>
    <w:qFormat/>
    <w:uiPriority w:val="0"/>
    <w:rPr>
      <w:shd w:val="clear" w:color="auto" w:fill="BFBFBF"/>
    </w:rPr>
  </w:style>
  <w:style w:type="character" w:customStyle="1" w:styleId="35">
    <w:name w:val="pwd-grade32"/>
    <w:basedOn w:val="11"/>
    <w:qFormat/>
    <w:uiPriority w:val="0"/>
    <w:rPr>
      <w:shd w:val="clear" w:color="auto" w:fill="90B71B"/>
    </w:rPr>
  </w:style>
  <w:style w:type="character" w:customStyle="1" w:styleId="36">
    <w:name w:val="prev"/>
    <w:basedOn w:val="11"/>
    <w:qFormat/>
    <w:uiPriority w:val="0"/>
    <w:rPr>
      <w:rFonts w:ascii="宋体" w:hAnsi="宋体" w:eastAsia="宋体" w:cs="宋体"/>
    </w:rPr>
  </w:style>
  <w:style w:type="character" w:customStyle="1" w:styleId="37">
    <w:name w:val="page-disabled"/>
    <w:basedOn w:val="11"/>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1"/>
    <w:qFormat/>
    <w:uiPriority w:val="0"/>
  </w:style>
  <w:style w:type="character" w:customStyle="1" w:styleId="39">
    <w:name w:val="next1"/>
    <w:basedOn w:val="11"/>
    <w:qFormat/>
    <w:uiPriority w:val="0"/>
    <w:rPr>
      <w:rFonts w:hint="eastAsia" w:ascii="宋体" w:hAnsi="宋体" w:eastAsia="宋体" w:cs="宋体"/>
    </w:rPr>
  </w:style>
  <w:style w:type="character" w:customStyle="1" w:styleId="40">
    <w:name w:val="current2"/>
    <w:basedOn w:val="11"/>
    <w:qFormat/>
    <w:uiPriority w:val="0"/>
    <w:rPr>
      <w:color w:val="FFFFFF"/>
      <w:bdr w:val="single" w:color="1C9CE7" w:sz="6" w:space="0"/>
      <w:shd w:val="clear" w:color="auto" w:fill="1C9CE7"/>
    </w:rPr>
  </w:style>
  <w:style w:type="character" w:customStyle="1" w:styleId="41">
    <w:name w:val="user"/>
    <w:basedOn w:val="11"/>
    <w:qFormat/>
    <w:uiPriority w:val="0"/>
  </w:style>
  <w:style w:type="character" w:customStyle="1" w:styleId="42">
    <w:name w:val="time2"/>
    <w:basedOn w:val="11"/>
    <w:qFormat/>
    <w:uiPriority w:val="0"/>
  </w:style>
  <w:style w:type="character" w:customStyle="1" w:styleId="43">
    <w:name w:val="state"/>
    <w:basedOn w:val="11"/>
    <w:qFormat/>
    <w:uiPriority w:val="0"/>
  </w:style>
  <w:style w:type="character" w:customStyle="1" w:styleId="44">
    <w:name w:val="time"/>
    <w:basedOn w:val="11"/>
    <w:qFormat/>
    <w:uiPriority w:val="0"/>
    <w:rPr>
      <w:color w:val="595959"/>
    </w:rPr>
  </w:style>
  <w:style w:type="character" w:customStyle="1" w:styleId="45">
    <w:name w:val="money"/>
    <w:basedOn w:val="11"/>
    <w:qFormat/>
    <w:uiPriority w:val="0"/>
  </w:style>
  <w:style w:type="character" w:customStyle="1" w:styleId="46">
    <w:name w:val="send"/>
    <w:basedOn w:val="11"/>
    <w:qFormat/>
    <w:uiPriority w:val="0"/>
  </w:style>
  <w:style w:type="character" w:customStyle="1" w:styleId="47">
    <w:name w:val="checkfield"/>
    <w:basedOn w:val="11"/>
    <w:qFormat/>
    <w:uiPriority w:val="0"/>
  </w:style>
  <w:style w:type="character" w:customStyle="1" w:styleId="48">
    <w:name w:val="send2"/>
    <w:basedOn w:val="11"/>
    <w:qFormat/>
    <w:uiPriority w:val="0"/>
  </w:style>
  <w:style w:type="character" w:customStyle="1" w:styleId="49">
    <w:name w:val="time3"/>
    <w:basedOn w:val="11"/>
    <w:qFormat/>
    <w:uiPriority w:val="0"/>
  </w:style>
  <w:style w:type="character" w:customStyle="1" w:styleId="50">
    <w:name w:val="number"/>
    <w:basedOn w:val="11"/>
    <w:qFormat/>
    <w:uiPriority w:val="0"/>
  </w:style>
  <w:style w:type="character" w:customStyle="1" w:styleId="51">
    <w:name w:val="operate"/>
    <w:basedOn w:val="11"/>
    <w:qFormat/>
    <w:uiPriority w:val="0"/>
  </w:style>
  <w:style w:type="character" w:customStyle="1" w:styleId="52">
    <w:name w:val="next"/>
    <w:basedOn w:val="11"/>
    <w:qFormat/>
    <w:uiPriority w:val="0"/>
    <w:rPr>
      <w:rFonts w:ascii="宋体" w:hAnsi="宋体" w:eastAsia="宋体" w:cs="宋体"/>
    </w:rPr>
  </w:style>
  <w:style w:type="character" w:customStyle="1" w:styleId="53">
    <w:name w:val="prev1"/>
    <w:basedOn w:val="11"/>
    <w:qFormat/>
    <w:uiPriority w:val="0"/>
    <w:rPr>
      <w:rFonts w:hint="eastAsia" w:ascii="宋体" w:hAnsi="宋体" w:eastAsia="宋体" w:cs="宋体"/>
    </w:rPr>
  </w:style>
  <w:style w:type="character" w:customStyle="1" w:styleId="54">
    <w:name w:val="current1"/>
    <w:basedOn w:val="11"/>
    <w:qFormat/>
    <w:uiPriority w:val="0"/>
    <w:rPr>
      <w:color w:val="FFFFFF"/>
      <w:bdr w:val="single" w:color="1C9CE7" w:sz="6" w:space="0"/>
      <w:shd w:val="clear" w:color="auto" w:fill="1C9CE7"/>
    </w:rPr>
  </w:style>
  <w:style w:type="character" w:customStyle="1" w:styleId="55">
    <w:name w:val="font21"/>
    <w:basedOn w:val="11"/>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1"/>
    <w:qFormat/>
    <w:uiPriority w:val="0"/>
    <w:rPr>
      <w:rFonts w:hint="eastAsia" w:ascii="微软雅黑" w:hAnsi="微软雅黑" w:eastAsia="微软雅黑" w:cs="微软雅黑"/>
      <w:color w:val="5E5E5E"/>
      <w:sz w:val="22"/>
      <w:szCs w:val="22"/>
      <w:u w:val="single"/>
    </w:rPr>
  </w:style>
  <w:style w:type="character" w:customStyle="1" w:styleId="57">
    <w:name w:val="font31"/>
    <w:basedOn w:val="11"/>
    <w:qFormat/>
    <w:uiPriority w:val="0"/>
    <w:rPr>
      <w:rFonts w:hint="eastAsia" w:ascii="微软雅黑" w:hAnsi="微软雅黑" w:eastAsia="微软雅黑" w:cs="微软雅黑"/>
      <w:color w:val="5E5E5E"/>
      <w:sz w:val="22"/>
      <w:szCs w:val="22"/>
      <w:u w:val="none"/>
    </w:rPr>
  </w:style>
  <w:style w:type="character" w:customStyle="1" w:styleId="58">
    <w:name w:val="font1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7310</Words>
  <Characters>7752</Characters>
  <Lines>68</Lines>
  <Paragraphs>19</Paragraphs>
  <TotalTime>15</TotalTime>
  <ScaleCrop>false</ScaleCrop>
  <LinksUpToDate>false</LinksUpToDate>
  <CharactersWithSpaces>8035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「还没想好」</cp:lastModifiedBy>
  <cp:lastPrinted>2024-03-14T00:19:00Z</cp:lastPrinted>
  <dcterms:modified xsi:type="dcterms:W3CDTF">2024-09-10T09:31:03Z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8C8BC8348D114803894ADB33C763EADF_13</vt:lpwstr>
  </property>
</Properties>
</file>